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289" w:rsidRDefault="008F2289">
      <w:pPr>
        <w:rPr>
          <w:lang w:val="uk-UA"/>
        </w:rPr>
      </w:pPr>
    </w:p>
    <w:p w:rsidR="00041C93" w:rsidRDefault="00041C93">
      <w:pPr>
        <w:rPr>
          <w:lang w:val="uk-UA"/>
        </w:rPr>
      </w:pPr>
      <w:hyperlink r:id="rId5" w:history="1">
        <w:r w:rsidRPr="00054A6A">
          <w:rPr>
            <w:rStyle w:val="a3"/>
            <w:lang w:val="uk-UA"/>
          </w:rPr>
          <w:t>http://www.ukrcardio.org/journal.php/article/823</w:t>
        </w:r>
      </w:hyperlink>
    </w:p>
    <w:p w:rsidR="00041C93" w:rsidRPr="00041C93" w:rsidRDefault="00041C93" w:rsidP="00041C93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r w:rsidRPr="00041C93">
        <w:rPr>
          <w:rFonts w:ascii="Verdana" w:eastAsia="Times New Roman" w:hAnsi="Verdana" w:cs="Times New Roman"/>
          <w:b/>
          <w:bCs/>
          <w:color w:val="333333"/>
          <w:sz w:val="15"/>
          <w:lang w:eastAsia="ru-RU"/>
        </w:rPr>
        <w:t>Международный регистр CLARIFY больных со стабильной ишемической болезнью сердца в Украине: особенности, проблемы, перспективы</w:t>
      </w:r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br/>
        <w:t xml:space="preserve">М.И.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Лутай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, А.Н. Пархоменко, А.Ф. Лысенко, И.П. Голикова,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Ph.G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.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Steg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, N.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Greenlaw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, I.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Ford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br/>
      </w:r>
      <w:r w:rsidRPr="00041C93">
        <w:rPr>
          <w:rFonts w:ascii="Verdana" w:eastAsia="Times New Roman" w:hAnsi="Verdana" w:cs="Times New Roman"/>
          <w:i/>
          <w:iCs/>
          <w:color w:val="333333"/>
          <w:sz w:val="15"/>
          <w:lang w:eastAsia="ru-RU"/>
        </w:rPr>
        <w:t xml:space="preserve">ДУ «Национальный научный центр “Институт кардиологии им. акад. Н.Д. </w:t>
      </w:r>
      <w:proofErr w:type="spellStart"/>
      <w:r w:rsidRPr="00041C93">
        <w:rPr>
          <w:rFonts w:ascii="Verdana" w:eastAsia="Times New Roman" w:hAnsi="Verdana" w:cs="Times New Roman"/>
          <w:i/>
          <w:iCs/>
          <w:color w:val="333333"/>
          <w:sz w:val="15"/>
          <w:lang w:eastAsia="ru-RU"/>
        </w:rPr>
        <w:t>Стражеско</w:t>
      </w:r>
      <w:proofErr w:type="spellEnd"/>
      <w:r w:rsidRPr="00041C93">
        <w:rPr>
          <w:rFonts w:ascii="Verdana" w:eastAsia="Times New Roman" w:hAnsi="Verdana" w:cs="Times New Roman"/>
          <w:i/>
          <w:iCs/>
          <w:color w:val="333333"/>
          <w:sz w:val="15"/>
          <w:lang w:eastAsia="ru-RU"/>
        </w:rPr>
        <w:t>” НАМН Украины», Киев</w:t>
      </w:r>
      <w:r w:rsidRPr="00041C93">
        <w:rPr>
          <w:rFonts w:ascii="Verdana" w:eastAsia="Times New Roman" w:hAnsi="Verdana" w:cs="Times New Roman"/>
          <w:i/>
          <w:iCs/>
          <w:color w:val="333333"/>
          <w:sz w:val="15"/>
          <w:szCs w:val="15"/>
          <w:lang w:eastAsia="ru-RU"/>
        </w:rPr>
        <w:br/>
      </w:r>
      <w:r w:rsidRPr="00041C93">
        <w:rPr>
          <w:rFonts w:ascii="Verdana" w:eastAsia="Times New Roman" w:hAnsi="Verdana" w:cs="Times New Roman"/>
          <w:i/>
          <w:iCs/>
          <w:color w:val="333333"/>
          <w:sz w:val="15"/>
          <w:lang w:eastAsia="ru-RU"/>
        </w:rPr>
        <w:t xml:space="preserve">INSERM U698, </w:t>
      </w:r>
      <w:proofErr w:type="spellStart"/>
      <w:r w:rsidRPr="00041C93">
        <w:rPr>
          <w:rFonts w:ascii="Verdana" w:eastAsia="Times New Roman" w:hAnsi="Verdana" w:cs="Times New Roman"/>
          <w:i/>
          <w:iCs/>
          <w:color w:val="333333"/>
          <w:sz w:val="15"/>
          <w:lang w:eastAsia="ru-RU"/>
        </w:rPr>
        <w:t>Universite</w:t>
      </w:r>
      <w:proofErr w:type="spellEnd"/>
      <w:r w:rsidRPr="00041C93">
        <w:rPr>
          <w:rFonts w:ascii="Verdana" w:eastAsia="Times New Roman" w:hAnsi="Verdana" w:cs="Times New Roman"/>
          <w:i/>
          <w:iCs/>
          <w:color w:val="333333"/>
          <w:sz w:val="15"/>
          <w:lang w:eastAsia="ru-RU"/>
        </w:rPr>
        <w:t xml:space="preserve"> </w:t>
      </w:r>
      <w:proofErr w:type="spellStart"/>
      <w:r w:rsidRPr="00041C93">
        <w:rPr>
          <w:rFonts w:ascii="Verdana" w:eastAsia="Times New Roman" w:hAnsi="Verdana" w:cs="Times New Roman"/>
          <w:i/>
          <w:iCs/>
          <w:color w:val="333333"/>
          <w:sz w:val="15"/>
          <w:lang w:eastAsia="ru-RU"/>
        </w:rPr>
        <w:t>Paris</w:t>
      </w:r>
      <w:proofErr w:type="spellEnd"/>
      <w:r w:rsidRPr="00041C93">
        <w:rPr>
          <w:rFonts w:ascii="Verdana" w:eastAsia="Times New Roman" w:hAnsi="Verdana" w:cs="Times New Roman"/>
          <w:i/>
          <w:iCs/>
          <w:color w:val="333333"/>
          <w:sz w:val="15"/>
          <w:lang w:eastAsia="ru-RU"/>
        </w:rPr>
        <w:t xml:space="preserve"> </w:t>
      </w:r>
      <w:proofErr w:type="spellStart"/>
      <w:r w:rsidRPr="00041C93">
        <w:rPr>
          <w:rFonts w:ascii="Verdana" w:eastAsia="Times New Roman" w:hAnsi="Verdana" w:cs="Times New Roman"/>
          <w:i/>
          <w:iCs/>
          <w:color w:val="333333"/>
          <w:sz w:val="15"/>
          <w:lang w:eastAsia="ru-RU"/>
        </w:rPr>
        <w:t>Diderot</w:t>
      </w:r>
      <w:proofErr w:type="spellEnd"/>
      <w:r w:rsidRPr="00041C93">
        <w:rPr>
          <w:rFonts w:ascii="Verdana" w:eastAsia="Times New Roman" w:hAnsi="Verdana" w:cs="Times New Roman"/>
          <w:i/>
          <w:iCs/>
          <w:color w:val="333333"/>
          <w:sz w:val="15"/>
          <w:lang w:eastAsia="ru-RU"/>
        </w:rPr>
        <w:t>, Париж, Франция</w:t>
      </w:r>
      <w:r w:rsidRPr="00041C93">
        <w:rPr>
          <w:rFonts w:ascii="Verdana" w:eastAsia="Times New Roman" w:hAnsi="Verdana" w:cs="Times New Roman"/>
          <w:i/>
          <w:iCs/>
          <w:color w:val="333333"/>
          <w:sz w:val="15"/>
          <w:szCs w:val="15"/>
          <w:lang w:eastAsia="ru-RU"/>
        </w:rPr>
        <w:br/>
      </w:r>
      <w:r w:rsidRPr="00041C93">
        <w:rPr>
          <w:rFonts w:ascii="Verdana" w:eastAsia="Times New Roman" w:hAnsi="Verdana" w:cs="Times New Roman"/>
          <w:i/>
          <w:iCs/>
          <w:color w:val="333333"/>
          <w:sz w:val="15"/>
          <w:lang w:eastAsia="ru-RU"/>
        </w:rPr>
        <w:t xml:space="preserve">AP-HP, </w:t>
      </w:r>
      <w:proofErr w:type="spellStart"/>
      <w:r w:rsidRPr="00041C93">
        <w:rPr>
          <w:rFonts w:ascii="Verdana" w:eastAsia="Times New Roman" w:hAnsi="Verdana" w:cs="Times New Roman"/>
          <w:i/>
          <w:iCs/>
          <w:color w:val="333333"/>
          <w:sz w:val="15"/>
          <w:lang w:eastAsia="ru-RU"/>
        </w:rPr>
        <w:t>Hospital</w:t>
      </w:r>
      <w:proofErr w:type="spellEnd"/>
      <w:r w:rsidRPr="00041C93">
        <w:rPr>
          <w:rFonts w:ascii="Verdana" w:eastAsia="Times New Roman" w:hAnsi="Verdana" w:cs="Times New Roman"/>
          <w:i/>
          <w:iCs/>
          <w:color w:val="333333"/>
          <w:sz w:val="15"/>
          <w:lang w:eastAsia="ru-RU"/>
        </w:rPr>
        <w:t xml:space="preserve"> </w:t>
      </w:r>
      <w:proofErr w:type="spellStart"/>
      <w:r w:rsidRPr="00041C93">
        <w:rPr>
          <w:rFonts w:ascii="Verdana" w:eastAsia="Times New Roman" w:hAnsi="Verdana" w:cs="Times New Roman"/>
          <w:i/>
          <w:iCs/>
          <w:color w:val="333333"/>
          <w:sz w:val="15"/>
          <w:lang w:eastAsia="ru-RU"/>
        </w:rPr>
        <w:t>Bichat</w:t>
      </w:r>
      <w:proofErr w:type="spellEnd"/>
      <w:r w:rsidRPr="00041C93">
        <w:rPr>
          <w:rFonts w:ascii="Verdana" w:eastAsia="Times New Roman" w:hAnsi="Verdana" w:cs="Times New Roman"/>
          <w:i/>
          <w:iCs/>
          <w:color w:val="333333"/>
          <w:sz w:val="15"/>
          <w:lang w:eastAsia="ru-RU"/>
        </w:rPr>
        <w:t>, Париж, Франция</w:t>
      </w:r>
      <w:r w:rsidRPr="00041C93">
        <w:rPr>
          <w:rFonts w:ascii="Verdana" w:eastAsia="Times New Roman" w:hAnsi="Verdana" w:cs="Times New Roman"/>
          <w:i/>
          <w:iCs/>
          <w:color w:val="333333"/>
          <w:sz w:val="15"/>
          <w:szCs w:val="15"/>
          <w:lang w:eastAsia="ru-RU"/>
        </w:rPr>
        <w:br/>
      </w:r>
      <w:proofErr w:type="spellStart"/>
      <w:r w:rsidRPr="00041C93">
        <w:rPr>
          <w:rFonts w:ascii="Verdana" w:eastAsia="Times New Roman" w:hAnsi="Verdana" w:cs="Times New Roman"/>
          <w:i/>
          <w:iCs/>
          <w:color w:val="333333"/>
          <w:sz w:val="15"/>
          <w:lang w:eastAsia="ru-RU"/>
        </w:rPr>
        <w:t>University</w:t>
      </w:r>
      <w:proofErr w:type="spellEnd"/>
      <w:r w:rsidRPr="00041C93">
        <w:rPr>
          <w:rFonts w:ascii="Verdana" w:eastAsia="Times New Roman" w:hAnsi="Verdana" w:cs="Times New Roman"/>
          <w:i/>
          <w:iCs/>
          <w:color w:val="333333"/>
          <w:sz w:val="15"/>
          <w:lang w:eastAsia="ru-RU"/>
        </w:rPr>
        <w:t xml:space="preserve"> </w:t>
      </w:r>
      <w:proofErr w:type="spellStart"/>
      <w:r w:rsidRPr="00041C93">
        <w:rPr>
          <w:rFonts w:ascii="Verdana" w:eastAsia="Times New Roman" w:hAnsi="Verdana" w:cs="Times New Roman"/>
          <w:i/>
          <w:iCs/>
          <w:color w:val="333333"/>
          <w:sz w:val="15"/>
          <w:lang w:eastAsia="ru-RU"/>
        </w:rPr>
        <w:t>of</w:t>
      </w:r>
      <w:proofErr w:type="spellEnd"/>
      <w:r w:rsidRPr="00041C93">
        <w:rPr>
          <w:rFonts w:ascii="Verdana" w:eastAsia="Times New Roman" w:hAnsi="Verdana" w:cs="Times New Roman"/>
          <w:i/>
          <w:iCs/>
          <w:color w:val="333333"/>
          <w:sz w:val="15"/>
          <w:lang w:eastAsia="ru-RU"/>
        </w:rPr>
        <w:t xml:space="preserve"> </w:t>
      </w:r>
      <w:proofErr w:type="spellStart"/>
      <w:r w:rsidRPr="00041C93">
        <w:rPr>
          <w:rFonts w:ascii="Verdana" w:eastAsia="Times New Roman" w:hAnsi="Verdana" w:cs="Times New Roman"/>
          <w:i/>
          <w:iCs/>
          <w:color w:val="333333"/>
          <w:sz w:val="15"/>
          <w:lang w:eastAsia="ru-RU"/>
        </w:rPr>
        <w:t>Glasgow</w:t>
      </w:r>
      <w:proofErr w:type="spellEnd"/>
      <w:r w:rsidRPr="00041C93">
        <w:rPr>
          <w:rFonts w:ascii="Verdana" w:eastAsia="Times New Roman" w:hAnsi="Verdana" w:cs="Times New Roman"/>
          <w:i/>
          <w:iCs/>
          <w:color w:val="333333"/>
          <w:sz w:val="15"/>
          <w:lang w:eastAsia="ru-RU"/>
        </w:rPr>
        <w:t>, Глазго, Великобритания</w:t>
      </w:r>
    </w:p>
    <w:p w:rsidR="00041C93" w:rsidRPr="00041C93" w:rsidRDefault="00041C93" w:rsidP="00041C9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proofErr w:type="gramStart"/>
      <w:r w:rsidRPr="00041C93">
        <w:rPr>
          <w:rFonts w:ascii="Verdana" w:eastAsia="Times New Roman" w:hAnsi="Verdana" w:cs="Times New Roman"/>
          <w:b/>
          <w:bCs/>
          <w:i/>
          <w:iCs/>
          <w:color w:val="333333"/>
          <w:sz w:val="15"/>
          <w:szCs w:val="15"/>
          <w:lang w:eastAsia="ru-RU"/>
        </w:rPr>
        <w:t>Ключевые слова:</w:t>
      </w:r>
      <w:r w:rsidRPr="00041C93">
        <w:rPr>
          <w:rFonts w:ascii="Verdana" w:eastAsia="Times New Roman" w:hAnsi="Verdana" w:cs="Times New Roman"/>
          <w:i/>
          <w:iCs/>
          <w:color w:val="333333"/>
          <w:sz w:val="15"/>
          <w:szCs w:val="15"/>
          <w:lang w:eastAsia="ru-RU"/>
        </w:rPr>
        <w:t xml:space="preserve"> ишемическая болезнь сердца, международный регистр CLARIFY, пациенты, Украина Международный регистр CLARIFY (</w:t>
      </w:r>
      <w:proofErr w:type="spellStart"/>
      <w:r w:rsidRPr="00041C93">
        <w:rPr>
          <w:rFonts w:ascii="Verdana" w:eastAsia="Times New Roman" w:hAnsi="Verdana" w:cs="Times New Roman"/>
          <w:i/>
          <w:iCs/>
          <w:color w:val="333333"/>
          <w:sz w:val="15"/>
          <w:szCs w:val="15"/>
          <w:lang w:eastAsia="ru-RU"/>
        </w:rPr>
        <w:t>The</w:t>
      </w:r>
      <w:proofErr w:type="spellEnd"/>
      <w:r w:rsidRPr="00041C93">
        <w:rPr>
          <w:rFonts w:ascii="Verdana" w:eastAsia="Times New Roman" w:hAnsi="Verdana" w:cs="Times New Roman"/>
          <w:i/>
          <w:iCs/>
          <w:color w:val="333333"/>
          <w:sz w:val="15"/>
          <w:szCs w:val="15"/>
          <w:lang w:eastAsia="ru-RU"/>
        </w:rPr>
        <w:t xml:space="preserve"> </w:t>
      </w:r>
      <w:proofErr w:type="spellStart"/>
      <w:r w:rsidRPr="00041C93">
        <w:rPr>
          <w:rFonts w:ascii="Verdana" w:eastAsia="Times New Roman" w:hAnsi="Verdana" w:cs="Times New Roman"/>
          <w:i/>
          <w:iCs/>
          <w:color w:val="333333"/>
          <w:sz w:val="15"/>
          <w:szCs w:val="15"/>
          <w:lang w:eastAsia="ru-RU"/>
        </w:rPr>
        <w:t>prospeCtive</w:t>
      </w:r>
      <w:proofErr w:type="spellEnd"/>
      <w:r w:rsidRPr="00041C93">
        <w:rPr>
          <w:rFonts w:ascii="Verdana" w:eastAsia="Times New Roman" w:hAnsi="Verdana" w:cs="Times New Roman"/>
          <w:i/>
          <w:iCs/>
          <w:color w:val="333333"/>
          <w:sz w:val="15"/>
          <w:szCs w:val="15"/>
          <w:lang w:eastAsia="ru-RU"/>
        </w:rPr>
        <w:t xml:space="preserve"> </w:t>
      </w:r>
      <w:proofErr w:type="spellStart"/>
      <w:r w:rsidRPr="00041C93">
        <w:rPr>
          <w:rFonts w:ascii="Verdana" w:eastAsia="Times New Roman" w:hAnsi="Verdana" w:cs="Times New Roman"/>
          <w:i/>
          <w:iCs/>
          <w:color w:val="333333"/>
          <w:sz w:val="15"/>
          <w:szCs w:val="15"/>
          <w:lang w:eastAsia="ru-RU"/>
        </w:rPr>
        <w:t>observational</w:t>
      </w:r>
      <w:proofErr w:type="spellEnd"/>
      <w:r w:rsidRPr="00041C93">
        <w:rPr>
          <w:rFonts w:ascii="Verdana" w:eastAsia="Times New Roman" w:hAnsi="Verdana" w:cs="Times New Roman"/>
          <w:i/>
          <w:iCs/>
          <w:color w:val="333333"/>
          <w:sz w:val="15"/>
          <w:szCs w:val="15"/>
          <w:lang w:eastAsia="ru-RU"/>
        </w:rPr>
        <w:t xml:space="preserve"> </w:t>
      </w:r>
      <w:proofErr w:type="spellStart"/>
      <w:r w:rsidRPr="00041C93">
        <w:rPr>
          <w:rFonts w:ascii="Verdana" w:eastAsia="Times New Roman" w:hAnsi="Verdana" w:cs="Times New Roman"/>
          <w:i/>
          <w:iCs/>
          <w:color w:val="333333"/>
          <w:sz w:val="15"/>
          <w:szCs w:val="15"/>
          <w:lang w:eastAsia="ru-RU"/>
        </w:rPr>
        <w:t>LongitudinAl</w:t>
      </w:r>
      <w:proofErr w:type="spellEnd"/>
      <w:r w:rsidRPr="00041C93">
        <w:rPr>
          <w:rFonts w:ascii="Verdana" w:eastAsia="Times New Roman" w:hAnsi="Verdana" w:cs="Times New Roman"/>
          <w:i/>
          <w:iCs/>
          <w:color w:val="333333"/>
          <w:sz w:val="15"/>
          <w:szCs w:val="15"/>
          <w:lang w:eastAsia="ru-RU"/>
        </w:rPr>
        <w:t xml:space="preserve"> </w:t>
      </w:r>
      <w:proofErr w:type="spellStart"/>
      <w:r w:rsidRPr="00041C93">
        <w:rPr>
          <w:rFonts w:ascii="Verdana" w:eastAsia="Times New Roman" w:hAnsi="Verdana" w:cs="Times New Roman"/>
          <w:i/>
          <w:iCs/>
          <w:color w:val="333333"/>
          <w:sz w:val="15"/>
          <w:szCs w:val="15"/>
          <w:lang w:eastAsia="ru-RU"/>
        </w:rPr>
        <w:t>RegIstry</w:t>
      </w:r>
      <w:proofErr w:type="spellEnd"/>
      <w:proofErr w:type="gramEnd"/>
    </w:p>
    <w:p w:rsidR="00041C93" w:rsidRPr="00041C93" w:rsidRDefault="00041C93" w:rsidP="00041C9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proofErr w:type="spellStart"/>
      <w:proofErr w:type="gram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oF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patients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with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stable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coronary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arterY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disease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) стартовал в 2009 г. Это значительный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проспективный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проект, который предполагает длительное, в течение 5 лет, наблюдение за больными с хронической ишемической болезнью сердца (ИБС).</w:t>
      </w:r>
      <w:proofErr w:type="gram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На сегодняшний день в него включено 33 438 пациентов из 45 стран Европы, Америки, Африки, Азии, Австралии, включая 777 больных из Украины. Проект задуман с целью </w:t>
      </w:r>
      <w:proofErr w:type="gram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получить</w:t>
      </w:r>
      <w:proofErr w:type="gram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больше информации о пациентах со стабильной ИБС, поскольку в последнее время основное внимание уделялось вопросам диагностики и лечения больных с острыми формами заболевания. </w:t>
      </w:r>
      <w:proofErr w:type="gram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В рамках проекта планируется определить основные характеристики амбулаторного пациента со стабильной ИБС, включая его демографические и клинические данные, методы лечения и исходы болезни.</w:t>
      </w:r>
      <w:proofErr w:type="gram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Также предполагается исследовать различия между реальной клинической практикой и современными рекомендациями, основанными на данных доказательной медицины. Продолжительность исследования позволит изучить факторы, определяющие долговременный прогноз у этой популяции больных. Регистр является эпидемиологическим исследованием и не подразумевает каких-либо вмешательств в лечение больных. Промежуточные результаты CLARIFY, опубликованные в 2012 г. [12], представляют несомненный интерес для практикующего кардиолога, поскольку позволяют оценить особенности и качество диагностики и терапии хронической ИБС в разных странах мира, а также наметить перспективы для оптимизации ведения пациентов.</w:t>
      </w:r>
    </w:p>
    <w:p w:rsidR="00041C93" w:rsidRPr="00041C93" w:rsidRDefault="00041C93" w:rsidP="00041C9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Как уже упоминалось, в исследование вошли больные с подтвержденным диагнозом ИБС. В качестве диагностических критериев использовали современные, достаточно жесткие параметры, включая документированный инфаркт миокарда (ИМ) – более 3 </w:t>
      </w:r>
      <w:proofErr w:type="spellStart"/>
      <w:proofErr w:type="gram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мес</w:t>
      </w:r>
      <w:proofErr w:type="spellEnd"/>
      <w:proofErr w:type="gram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назад;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ангиографически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подтвержденный стеноз хотя бы одной венечной артерии &gt; 50 %; приступы стенокардии в сочетании с результатами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стресс-тестов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, подтверждающих ишемию миокарда. </w:t>
      </w:r>
      <w:proofErr w:type="gram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В рамках регистра будет проанализирован значительный объем информации: демографические данные участников, анамнез заболевания, факторы риска, антропометрические показатели, информация о клинических симптомах, а также данные объективного осмотра, уровень артериального давления (АД) и частота сокращений сердца (ЧСС) –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пальпаторно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и по данным ЭКГ, результаты лабораторных анализов (уровни глюкозы крови,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гликозилированного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гемоглобина (НbA1с), холестерина (ХС),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триглицеридов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,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креатинина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и гемоглобина) и перечень получаемых лекарственных препаратов</w:t>
      </w:r>
      <w:proofErr w:type="gram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. Сбор и анализ данных проводит независимый статистический центр в Великобритании (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The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Robertson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Centre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for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Biostatistics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,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University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of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Glasgow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).</w:t>
      </w:r>
    </w:p>
    <w:p w:rsidR="00041C93" w:rsidRPr="00041C93" w:rsidRDefault="00041C93" w:rsidP="00041C9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В регистре участвуют 2898 врачей. Каждый врач обследовал и наблюдает 10–15 больных. В Украине в исследование включено 777 пациентов из амбулаторной практики 52 врачей.</w:t>
      </w:r>
    </w:p>
    <w:p w:rsidR="00041C93" w:rsidRPr="00041C93" w:rsidRDefault="00041C93" w:rsidP="00041C9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proofErr w:type="gram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В украинской популяции больных со стабильной ИБС, как и в общей популяции CLARIFY, преобладают мужчины (~80 %).</w:t>
      </w:r>
      <w:proofErr w:type="gram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Украинские пациенты, которые обращаются в поликлинику за медицинской помощью, оказались моложе среднестатистического пациента CLARIFY: соответственно 57,8 и 64,3 года (Р</w:t>
      </w:r>
      <w:proofErr w:type="gram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2</w:t>
      </w:r>
      <w:proofErr w:type="gram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; P</w:t>
      </w:r>
    </w:p>
    <w:p w:rsidR="00041C93" w:rsidRPr="00041C93" w:rsidRDefault="00041C93" w:rsidP="00041C9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r w:rsidRPr="00041C93">
        <w:rPr>
          <w:rFonts w:ascii="Verdana" w:eastAsia="Times New Roman" w:hAnsi="Verdana" w:cs="Times New Roman"/>
          <w:i/>
          <w:iCs/>
          <w:color w:val="333333"/>
          <w:sz w:val="15"/>
          <w:szCs w:val="15"/>
          <w:lang w:eastAsia="ru-RU"/>
        </w:rPr>
        <w:lastRenderedPageBreak/>
        <w:t>Таблица 1.</w:t>
      </w:r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Исходные демографические данные</w:t>
      </w:r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br/>
      </w:r>
      <w:r>
        <w:rPr>
          <w:rFonts w:ascii="Verdana" w:eastAsia="Times New Roman" w:hAnsi="Verdana" w:cs="Times New Roman"/>
          <w:noProof/>
          <w:color w:val="333333"/>
          <w:sz w:val="15"/>
          <w:szCs w:val="15"/>
          <w:lang w:eastAsia="ru-RU"/>
        </w:rPr>
        <w:drawing>
          <wp:inline distT="0" distB="0" distL="0" distR="0">
            <wp:extent cx="6861810" cy="6249670"/>
            <wp:effectExtent l="19050" t="0" r="0" b="0"/>
            <wp:docPr id="5" name="Рисунок 11" descr="http://www.ukrcardio.org/pictures/IMAG313/luta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ukrcardio.org/pictures/IMAG313/luta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810" cy="6249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C93" w:rsidRPr="00041C93" w:rsidRDefault="00041C93" w:rsidP="00041C9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Украинские пациенты регистра на момент начала исследования имели достоверно более тяжелый клинический статус (табл. 2, 3). Большинство из них (81 %) перенесли ИМ и жаловались на приступы стенокардии (86 %), причем 36 % имели стенокардию III функционального класса по классификации Канадской ассоциации кардиологов, то есть практически у каждого второго пациента симптоматика носила выраженный характер. В общей популяции 59 % пациентов имели ИМ в анамнезе и 20 % – стенокардию (оба </w:t>
      </w:r>
      <w:proofErr w:type="gram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Р</w:t>
      </w:r>
      <w:proofErr w:type="gramEnd"/>
    </w:p>
    <w:p w:rsidR="00041C93" w:rsidRPr="00041C93" w:rsidRDefault="00041C93" w:rsidP="00041C9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r w:rsidRPr="00041C93">
        <w:rPr>
          <w:rFonts w:ascii="Verdana" w:eastAsia="Times New Roman" w:hAnsi="Verdana" w:cs="Times New Roman"/>
          <w:i/>
          <w:iCs/>
          <w:color w:val="333333"/>
          <w:sz w:val="15"/>
          <w:szCs w:val="15"/>
          <w:lang w:eastAsia="ru-RU"/>
        </w:rPr>
        <w:lastRenderedPageBreak/>
        <w:t>Таблица 2.</w:t>
      </w:r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Медицинский анамнез</w:t>
      </w:r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br/>
      </w:r>
      <w:r>
        <w:rPr>
          <w:rFonts w:ascii="Verdana" w:eastAsia="Times New Roman" w:hAnsi="Verdana" w:cs="Times New Roman"/>
          <w:noProof/>
          <w:color w:val="333333"/>
          <w:sz w:val="15"/>
          <w:szCs w:val="15"/>
          <w:lang w:eastAsia="ru-RU"/>
        </w:rPr>
        <w:drawing>
          <wp:inline distT="0" distB="0" distL="0" distR="0">
            <wp:extent cx="6861810" cy="2465070"/>
            <wp:effectExtent l="19050" t="0" r="0" b="0"/>
            <wp:docPr id="7" name="Рисунок 12" descr="http://www.ukrcardio.org/pictures/IMAG313/lutai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ukrcardio.org/pictures/IMAG313/lutai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810" cy="2465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C93" w:rsidRPr="00041C93" w:rsidRDefault="00041C93" w:rsidP="00041C9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r w:rsidRPr="00041C93">
        <w:rPr>
          <w:rFonts w:ascii="Verdana" w:eastAsia="Times New Roman" w:hAnsi="Verdana" w:cs="Times New Roman"/>
          <w:i/>
          <w:iCs/>
          <w:color w:val="333333"/>
          <w:sz w:val="15"/>
          <w:szCs w:val="15"/>
          <w:lang w:eastAsia="ru-RU"/>
        </w:rPr>
        <w:t>Таблица 3.</w:t>
      </w:r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Клинический осмотр и симптомы</w:t>
      </w:r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br/>
      </w:r>
      <w:r>
        <w:rPr>
          <w:rFonts w:ascii="Verdana" w:eastAsia="Times New Roman" w:hAnsi="Verdana" w:cs="Times New Roman"/>
          <w:noProof/>
          <w:color w:val="333333"/>
          <w:sz w:val="15"/>
          <w:szCs w:val="15"/>
          <w:lang w:eastAsia="ru-RU"/>
        </w:rPr>
        <w:drawing>
          <wp:inline distT="0" distB="0" distL="0" distR="0">
            <wp:extent cx="6861810" cy="3244215"/>
            <wp:effectExtent l="19050" t="0" r="0" b="0"/>
            <wp:docPr id="8" name="Рисунок 13" descr="http://www.ukrcardio.org/pictures/IMAG313/lutai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ukrcardio.org/pictures/IMAG313/lutai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810" cy="324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C93" w:rsidRPr="00041C93" w:rsidRDefault="00041C93" w:rsidP="00041C9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Результаты лабораторного и инструментального обследования (включая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эхокардиографию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, ЭКГ,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коронарографию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, </w:t>
      </w:r>
      <w:proofErr w:type="spellStart"/>
      <w:proofErr w:type="gram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стресс-тесты</w:t>
      </w:r>
      <w:proofErr w:type="spellEnd"/>
      <w:proofErr w:type="gram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с дозированной физической нагрузкой, а также лабораторные показатели: уровни НbA1с,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креатинина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, гемоглобина, глюкозы крови натощак, общего ХС, холестерина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липопротеинов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низкой (ХС ЛПНП) и высокой (ХС ЛПВП) плотности,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триглицеридов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) представлены в табл. 4.</w:t>
      </w:r>
    </w:p>
    <w:p w:rsidR="00041C93" w:rsidRPr="00041C93" w:rsidRDefault="00041C93" w:rsidP="00041C9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r w:rsidRPr="00041C93">
        <w:rPr>
          <w:rFonts w:ascii="Verdana" w:eastAsia="Times New Roman" w:hAnsi="Verdana" w:cs="Times New Roman"/>
          <w:i/>
          <w:iCs/>
          <w:color w:val="333333"/>
          <w:sz w:val="15"/>
          <w:szCs w:val="15"/>
          <w:lang w:eastAsia="ru-RU"/>
        </w:rPr>
        <w:lastRenderedPageBreak/>
        <w:t>Таблица 4.</w:t>
      </w:r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Лабораторные и инструментальные показатели</w:t>
      </w:r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br/>
      </w:r>
      <w:r>
        <w:rPr>
          <w:rFonts w:ascii="Verdana" w:eastAsia="Times New Roman" w:hAnsi="Verdana" w:cs="Times New Roman"/>
          <w:noProof/>
          <w:color w:val="333333"/>
          <w:sz w:val="15"/>
          <w:szCs w:val="15"/>
          <w:lang w:eastAsia="ru-RU"/>
        </w:rPr>
        <w:drawing>
          <wp:inline distT="0" distB="0" distL="0" distR="0">
            <wp:extent cx="6861810" cy="4635500"/>
            <wp:effectExtent l="19050" t="0" r="0" b="0"/>
            <wp:docPr id="18" name="Рисунок 14" descr="http://www.ukrcardio.org/pictures/IMAG313/lutai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ukrcardio.org/pictures/IMAG313/lutai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810" cy="463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C93" w:rsidRPr="00041C93" w:rsidRDefault="00041C93" w:rsidP="00041C9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В украинской популяции CLARIFY значительно реже (у 36 % больных, общий показатель – 86 %) проводили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коронароангиографию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– исследование, важное для диагностики ИБС и определения терапевтической тактики. Это можно объяснить недостаточной технической оснащенностью отечественной кардиологической службы. Важно отметить, что распространенность поражения венечного сосудистого русла была приблизительно одинаковой в изучаемых группах больных, за исключением большей частоты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гемодинамически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значимого поражения ствола левой венечной артерии у больных украинской популяции (13,9 по сравнению с 8,48 %, </w:t>
      </w:r>
      <w:proofErr w:type="gram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Р</w:t>
      </w:r>
      <w:proofErr w:type="gramEnd"/>
    </w:p>
    <w:p w:rsidR="00041C93" w:rsidRPr="00041C93" w:rsidRDefault="00041C93" w:rsidP="00041C9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proofErr w:type="gram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В связи с этим возникает вопрос о необходимости системного пересмотра диагностических алгоритмов для стабильной ИБС, особенно для больных с наличием перенесенного ИМ в анамнезе.</w:t>
      </w:r>
      <w:proofErr w:type="gram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Показатели, полученные при проведении проб с дозированной физической нагрузкой (симптомы ишемии миокарда, параметры толерантности к физическим нагрузкам), являются не только важными критериями диагностики ИБС, но в значительной степени определяют выбор корректной тактики лечения и позволяют оценить его эффективность.</w:t>
      </w:r>
    </w:p>
    <w:p w:rsidR="00041C93" w:rsidRPr="00041C93" w:rsidRDefault="00041C93" w:rsidP="00041C9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Из других важных характеристик атеросклеротического процесса следует отметить более высокие значения уровней общего ХС, ХС ЛПНП и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триглицеридов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у украинских больных.</w:t>
      </w:r>
    </w:p>
    <w:p w:rsidR="00041C93" w:rsidRPr="00041C93" w:rsidRDefault="00041C93" w:rsidP="00041C9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Следует также отметить, что в нашей стране существует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гипердиагностика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ИБС, о чем свидетельствуют данные статистики. Так, считается, что в Украине ~24 % взрослого населения имеют ИБС [1], что почти вдвое выше европейского показателя (~12–15 %). Вместе с тем, более детальный анализ данных, полученных в отечественных эпидемиологических исследованиях (И.М.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Горбась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, Е.И.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Митченко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), показал, что распространенность ИБС в Украине составляет ~11–16 % [3].</w:t>
      </w:r>
    </w:p>
    <w:p w:rsidR="00041C93" w:rsidRPr="00041C93" w:rsidRDefault="00041C93" w:rsidP="00041C9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Данные регистра CLARIFY позволяют оценить медикаментозное лечение больных со </w:t>
      </w:r>
      <w:proofErr w:type="gram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стабильной</w:t>
      </w:r>
      <w:proofErr w:type="gram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ИБС в мире в целом, а также в различных регионах и странах. Среди лекарственных препаратов, которые рекомендованы как базовая терапия, оказывающая достоверное влияние на прогноз заболевания [4, 11], в Украине назначают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липидоснижающую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терапию, в основном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статины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(96 %), ацетилсалициловую кислоту (91 %), </w:t>
      </w:r>
      <w:r w:rsidRPr="00041C93">
        <w:rPr>
          <w:rFonts w:ascii="Symbol" w:eastAsia="Times New Roman" w:hAnsi="Symbol" w:cs="Times New Roman"/>
          <w:color w:val="333333"/>
          <w:sz w:val="14"/>
          <w:szCs w:val="14"/>
          <w:lang w:eastAsia="ru-RU"/>
        </w:rPr>
        <w:t></w:t>
      </w:r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-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адреноблокаторы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– </w:t>
      </w:r>
      <w:r w:rsidRPr="00041C93">
        <w:rPr>
          <w:rFonts w:ascii="Symbol" w:eastAsia="Times New Roman" w:hAnsi="Symbol" w:cs="Times New Roman"/>
          <w:color w:val="333333"/>
          <w:sz w:val="14"/>
          <w:szCs w:val="14"/>
          <w:lang w:eastAsia="ru-RU"/>
        </w:rPr>
        <w:t></w:t>
      </w:r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-АБ (85 %), ингибиторы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ангиотензинпревращающего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фермента (ИАПФ) /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блокаторы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рецепторов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ангиотензина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II (БРА II) (92 %). Эти показатели даже несколько выше общих по регистру (табл. 5).</w:t>
      </w:r>
    </w:p>
    <w:p w:rsidR="00041C93" w:rsidRPr="00041C93" w:rsidRDefault="00041C93" w:rsidP="00041C9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r w:rsidRPr="00041C93">
        <w:rPr>
          <w:rFonts w:ascii="Verdana" w:eastAsia="Times New Roman" w:hAnsi="Verdana" w:cs="Times New Roman"/>
          <w:i/>
          <w:iCs/>
          <w:color w:val="333333"/>
          <w:sz w:val="15"/>
          <w:szCs w:val="15"/>
          <w:lang w:eastAsia="ru-RU"/>
        </w:rPr>
        <w:lastRenderedPageBreak/>
        <w:t>Таблица 5.</w:t>
      </w:r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Исходная терапия</w:t>
      </w:r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br/>
      </w:r>
      <w:r>
        <w:rPr>
          <w:rFonts w:ascii="Verdana" w:eastAsia="Times New Roman" w:hAnsi="Verdana" w:cs="Times New Roman"/>
          <w:noProof/>
          <w:color w:val="333333"/>
          <w:sz w:val="15"/>
          <w:szCs w:val="15"/>
          <w:lang w:eastAsia="ru-RU"/>
        </w:rPr>
        <w:drawing>
          <wp:inline distT="0" distB="0" distL="0" distR="0">
            <wp:extent cx="6861810" cy="2647950"/>
            <wp:effectExtent l="19050" t="0" r="0" b="0"/>
            <wp:docPr id="22" name="Рисунок 15" descr="http://www.ukrcardio.org/pictures/IMAG313/lutai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ukrcardio.org/pictures/IMAG313/lutai5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81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C93" w:rsidRPr="00041C93" w:rsidRDefault="00041C93" w:rsidP="00041C9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Вместе с тем, результаты лечения украинских участников регистра не всегда оптимальны, как, например, в случае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липидоснижающей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терапии. Так, уровень общего ХС в общей популяции практически соответствует общепринятым целевым значениям – 4,3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ммоль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/л, тогда как у украинских пациентов этот показатель значительно выше – 5,1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ммоль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/л (</w:t>
      </w:r>
      <w:proofErr w:type="gram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Р</w:t>
      </w:r>
      <w:proofErr w:type="gramEnd"/>
    </w:p>
    <w:p w:rsidR="00041C93" w:rsidRPr="00041C93" w:rsidRDefault="00041C93" w:rsidP="00041C9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В общей популяции CLARIFY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липидоснижающую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терапию принимали 92 % участников, и показатели ХС ЛПНП в начале исследования соответствовали рекомендованным целевым значениям – в среднем 2,4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ммоль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/л. Большинство украинских участников регистра также лечились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статинами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(96 %), но уровни ХС ЛПНП у них были достоверно выше – 3,0 (</w:t>
      </w:r>
      <w:proofErr w:type="gram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Р</w:t>
      </w:r>
      <w:proofErr w:type="gramEnd"/>
    </w:p>
    <w:p w:rsidR="00041C93" w:rsidRPr="00041C93" w:rsidRDefault="00041C93" w:rsidP="00041C9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Контроль ЧСС – одно из важнейших условий успешной терапии стабильной ИБС. Показатель ЧСС связан с долгосрочным прогнозом таких больных, что подтверждают клинические и популяционные исследования. Например, исследование А.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Diaz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и соавторов свидетельствует, что относительный риск смерти пациентов со стабильной ИБС возрастает на треть при ЧСС &gt; 83 в 1 мин по сравнению с лицами, имеющими ЧСС &lt; 62 в 1 мин, независимо от фракции выброса левого желудочка, степени поражения венечных артерий и медикаментозной терапии [5]. ЧСС считают одной из важнейших детерминант потребления миокардом кислорода. Замедление ЧСС обеспечивает удлинение диастолы и, соответственно, периода перфузии миокарда, что приобретает особое значение в условиях ишемии. Считается, что ЧСС оказывает влияние на развитие атеросклероза. Возможно, что ускорение ЧСС повышает риск острых коронарных событий в связи с механическим повреждением атеросклеротической бляшки. Таким образом, учащенный пульс играет важную роль в развитии и прогрессировании атеросклероза венечных артерий и провоцирует ишемические осложнения за счет повышения потребности в кислороде, снижения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диастолической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перфузии и механического воздействия на атеросклеротическую бляшку. Среди лекарственных средств, замедляющих ЧСС, для больных ИБС доказаны преимущества двух фармакологических групп препаратов – это </w:t>
      </w:r>
      <w:proofErr w:type="gramStart"/>
      <w:r w:rsidRPr="00041C93">
        <w:rPr>
          <w:rFonts w:ascii="Symbol" w:eastAsia="Times New Roman" w:hAnsi="Symbol" w:cs="Times New Roman"/>
          <w:color w:val="333333"/>
          <w:sz w:val="14"/>
          <w:szCs w:val="14"/>
          <w:lang w:eastAsia="ru-RU"/>
        </w:rPr>
        <w:t></w:t>
      </w:r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-</w:t>
      </w:r>
      <w:proofErr w:type="gram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АБ и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блокаторы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If-каналов (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ивабрадин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). Назначение </w:t>
      </w:r>
      <w:proofErr w:type="gramStart"/>
      <w:r w:rsidRPr="00041C93">
        <w:rPr>
          <w:rFonts w:ascii="Symbol" w:eastAsia="Times New Roman" w:hAnsi="Symbol" w:cs="Times New Roman"/>
          <w:color w:val="333333"/>
          <w:sz w:val="14"/>
          <w:szCs w:val="14"/>
          <w:lang w:eastAsia="ru-RU"/>
        </w:rPr>
        <w:t></w:t>
      </w:r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-</w:t>
      </w:r>
      <w:proofErr w:type="gram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АБ после перенесенного ИМ снижает риск кардиальной смерти и повторного ИМ на ~30 % [9, 10]. Для воздействия на показатель смертности имеет значение длительный прием препаратов. </w:t>
      </w:r>
      <w:proofErr w:type="gramStart"/>
      <w:r w:rsidRPr="00041C93">
        <w:rPr>
          <w:rFonts w:ascii="Symbol" w:eastAsia="Times New Roman" w:hAnsi="Symbol" w:cs="Times New Roman"/>
          <w:color w:val="333333"/>
          <w:sz w:val="14"/>
          <w:szCs w:val="14"/>
          <w:lang w:eastAsia="ru-RU"/>
        </w:rPr>
        <w:t></w:t>
      </w:r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-</w:t>
      </w:r>
      <w:proofErr w:type="gram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АБ оказывают выраженный симптоматический,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антиангинальный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/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антиишемический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эффект, устраняя или уменьшая клинические проявления болезни. В соответствии с международными и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отчественными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рекомендациями </w:t>
      </w:r>
      <w:proofErr w:type="gramStart"/>
      <w:r w:rsidRPr="00041C93">
        <w:rPr>
          <w:rFonts w:ascii="Symbol" w:eastAsia="Times New Roman" w:hAnsi="Symbol" w:cs="Times New Roman"/>
          <w:color w:val="333333"/>
          <w:sz w:val="14"/>
          <w:szCs w:val="14"/>
          <w:lang w:eastAsia="ru-RU"/>
        </w:rPr>
        <w:t></w:t>
      </w:r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-</w:t>
      </w:r>
      <w:proofErr w:type="gram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АБ остаются препаратами первого ряда для пациентов со стабильной ИБС при отсутствии противопоказаний [4, 11]. Критерием эффективности </w:t>
      </w:r>
      <w:proofErr w:type="gramStart"/>
      <w:r w:rsidRPr="00041C93">
        <w:rPr>
          <w:rFonts w:ascii="Symbol" w:eastAsia="Times New Roman" w:hAnsi="Symbol" w:cs="Times New Roman"/>
          <w:color w:val="333333"/>
          <w:sz w:val="14"/>
          <w:szCs w:val="14"/>
          <w:lang w:eastAsia="ru-RU"/>
        </w:rPr>
        <w:t></w:t>
      </w:r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-</w:t>
      </w:r>
      <w:proofErr w:type="gram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АБ, включая правильный выбор дозы препарата, является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урежение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ЧСС в состоянии покоя до 55–60 в 1 мин. Большинство украинцев (85,3 %), по данным CLARIFY, принимают </w:t>
      </w:r>
      <w:r w:rsidRPr="00041C93">
        <w:rPr>
          <w:rFonts w:ascii="Symbol" w:eastAsia="Times New Roman" w:hAnsi="Symbol" w:cs="Times New Roman"/>
          <w:color w:val="333333"/>
          <w:sz w:val="14"/>
          <w:szCs w:val="14"/>
          <w:lang w:eastAsia="ru-RU"/>
        </w:rPr>
        <w:t></w:t>
      </w:r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-АБ. Но ЧСС при этом существенно превышает рекомендованные значения и составляет ~70 в 1 мин по данным оценки пульса и ЭКГ (см. табл. 3). Недостаточный контроль ЧСС у украинских пациентов удивляет еще и потому, что половине из них назначали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ивабрадин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, в большинстве случаев вместе с </w:t>
      </w:r>
      <w:proofErr w:type="gramStart"/>
      <w:r w:rsidRPr="00041C93">
        <w:rPr>
          <w:rFonts w:ascii="Symbol" w:eastAsia="Times New Roman" w:hAnsi="Symbol" w:cs="Times New Roman"/>
          <w:color w:val="333333"/>
          <w:sz w:val="14"/>
          <w:szCs w:val="14"/>
          <w:lang w:eastAsia="ru-RU"/>
        </w:rPr>
        <w:t></w:t>
      </w:r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-</w:t>
      </w:r>
      <w:proofErr w:type="gram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АБ. Известно, что основным гемодинамическим эффектом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ивабрадина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является снижение ЧСС как в состоянии покоя, так и при нагрузках.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Ивабрадин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наряду с </w:t>
      </w:r>
      <w:proofErr w:type="gramStart"/>
      <w:r w:rsidRPr="00041C93">
        <w:rPr>
          <w:rFonts w:ascii="Symbol" w:eastAsia="Times New Roman" w:hAnsi="Symbol" w:cs="Times New Roman"/>
          <w:color w:val="333333"/>
          <w:sz w:val="14"/>
          <w:szCs w:val="14"/>
          <w:lang w:eastAsia="ru-RU"/>
        </w:rPr>
        <w:t></w:t>
      </w:r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-</w:t>
      </w:r>
      <w:proofErr w:type="gram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АБ включен в международные и отечественные рекомендации по лечению пациентов со стабильной стенокардией [2]. По результатам клинических исследований (ASSOCIATE, BEAUTIFUL), добавление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ивабрадина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к </w:t>
      </w:r>
      <w:proofErr w:type="gramStart"/>
      <w:r w:rsidRPr="00041C93">
        <w:rPr>
          <w:rFonts w:ascii="Symbol" w:eastAsia="Times New Roman" w:hAnsi="Symbol" w:cs="Times New Roman"/>
          <w:color w:val="333333"/>
          <w:sz w:val="14"/>
          <w:szCs w:val="14"/>
          <w:lang w:eastAsia="ru-RU"/>
        </w:rPr>
        <w:t></w:t>
      </w:r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-</w:t>
      </w:r>
      <w:proofErr w:type="gram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АБ значительно повышало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антиангинальную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/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антиишемическую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эффективность лечения и обеспечивало лучший контроль ЧСС [8, 13], что, к сожалению, не было достигнуто в украинской популяции больных регистра CLARIFY. </w:t>
      </w:r>
      <w:proofErr w:type="gram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Вероятно, наши пациенты попросту не принимают назначенное лечение или же принимают нерегулярно, в меньших, чем рекомендованные, дозах препаратов.</w:t>
      </w:r>
      <w:proofErr w:type="gram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Для сравнения: в общей популяции регистра </w:t>
      </w:r>
      <w:proofErr w:type="gramStart"/>
      <w:r w:rsidRPr="00041C93">
        <w:rPr>
          <w:rFonts w:ascii="Symbol" w:eastAsia="Times New Roman" w:hAnsi="Symbol" w:cs="Times New Roman"/>
          <w:color w:val="333333"/>
          <w:sz w:val="14"/>
          <w:szCs w:val="14"/>
          <w:lang w:eastAsia="ru-RU"/>
        </w:rPr>
        <w:t></w:t>
      </w:r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-</w:t>
      </w:r>
      <w:proofErr w:type="gram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АБ и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ивабрадин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принимали меньше больных, чем в Украине, – соответственно 74,9 по сравнению с 85,3 % и 8,9 по сравнению с 50,3 % (все различия достоверны, Р</w:t>
      </w:r>
    </w:p>
    <w:p w:rsidR="00041C93" w:rsidRPr="00041C93" w:rsidRDefault="00041C93" w:rsidP="00041C9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Распределение больных в украинской популяции в зависимости от ЧСС представлено на рисунке.</w:t>
      </w:r>
    </w:p>
    <w:p w:rsidR="00041C93" w:rsidRPr="00041C93" w:rsidRDefault="00041C93" w:rsidP="00041C9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color w:val="333333"/>
          <w:sz w:val="15"/>
          <w:szCs w:val="15"/>
          <w:lang w:eastAsia="ru-RU"/>
        </w:rPr>
        <w:lastRenderedPageBreak/>
        <w:drawing>
          <wp:inline distT="0" distB="0" distL="0" distR="0">
            <wp:extent cx="6830060" cy="3609975"/>
            <wp:effectExtent l="19050" t="0" r="8890" b="0"/>
            <wp:docPr id="23" name="Рисунок 16" descr="http://www.ukrcardio.org/pictures/IMAG313/lutai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ukrcardio.org/pictures/IMAG313/lutai6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06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1C93">
        <w:rPr>
          <w:rFonts w:ascii="Verdana" w:eastAsia="Times New Roman" w:hAnsi="Verdana" w:cs="Times New Roman"/>
          <w:i/>
          <w:iCs/>
          <w:color w:val="333333"/>
          <w:sz w:val="15"/>
          <w:szCs w:val="15"/>
          <w:lang w:eastAsia="ru-RU"/>
        </w:rPr>
        <w:br/>
      </w:r>
      <w:proofErr w:type="spellStart"/>
      <w:r w:rsidRPr="00041C93">
        <w:rPr>
          <w:rFonts w:ascii="Verdana" w:eastAsia="Times New Roman" w:hAnsi="Verdana" w:cs="Times New Roman"/>
          <w:i/>
          <w:iCs/>
          <w:color w:val="333333"/>
          <w:sz w:val="15"/>
          <w:szCs w:val="15"/>
          <w:lang w:eastAsia="ru-RU"/>
        </w:rPr>
        <w:t>Рисунок</w:t>
      </w:r>
      <w:proofErr w:type="gramStart"/>
      <w:r w:rsidRPr="00041C93">
        <w:rPr>
          <w:rFonts w:ascii="Verdana" w:eastAsia="Times New Roman" w:hAnsi="Verdana" w:cs="Times New Roman"/>
          <w:i/>
          <w:iCs/>
          <w:color w:val="333333"/>
          <w:sz w:val="15"/>
          <w:szCs w:val="15"/>
          <w:lang w:eastAsia="ru-RU"/>
        </w:rPr>
        <w:t>.</w:t>
      </w:r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Р</w:t>
      </w:r>
      <w:proofErr w:type="gram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аспределение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пациентов с ИБС в украинской популяции в зависимости от ЧСС.</w:t>
      </w:r>
    </w:p>
    <w:p w:rsidR="00041C93" w:rsidRPr="00041C93" w:rsidRDefault="00041C93" w:rsidP="00041C9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Серьезную обеспокоенность вызывают данные CLARIFY, касающиеся использования в Украине медикаментозных средств, маркированных как «другие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антиангинальные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препараты». Они были назначены участникам регистра в ~63 % случаев, это в 1,5–2 раза чаще, чем нитраты длительного действия или антагонисты кальция (</w:t>
      </w:r>
      <w:proofErr w:type="gram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см</w:t>
      </w:r>
      <w:proofErr w:type="gram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. табл. 5). Уместно заметить, что анализ объемов аптечных продаж препаратов группы</w:t>
      </w:r>
      <w:proofErr w:type="gram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С</w:t>
      </w:r>
      <w:proofErr w:type="gram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«Средства, влияющие на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сердечно-сосудистую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систему» за 2005–2011 гг. показал, что 5 из 10 наиболее продаваемых в Украине кардиологических препаратов – это метаболические средства, включая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мильдоний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,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триметазидин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,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тиотриазолин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(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Pharm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Xplorer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Proxima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research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, 2012). Напротив, в США в 2011 г. среди наиболее продаваемых препаратов были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аторвастатин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,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клопидогрель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,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розувастатин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,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валсартан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,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эноксапарин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(IMS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data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, 2010). «Другие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антиангинальные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препараты» используют в Украине почти в 5 раз чаще, чем в мировой практике! Хорошо это или плохо? </w:t>
      </w:r>
      <w:proofErr w:type="gram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Плохо, когда вместо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рекомендованых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антиангинальных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средств назначают препараты, которые являются лишь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адъювантными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к базисной терапии (только для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триметазидина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и не зарегистрированного в нашей стране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ранолазина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существует доказательная база).</w:t>
      </w:r>
      <w:proofErr w:type="gram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Плохо, когда рекомендованная медикаментозная терапия не позволяет стабилизировать состояние больных с ИБС и наличием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стенозирующего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атеросклероза венечных артерий, и им при этом не проводят </w:t>
      </w:r>
      <w:proofErr w:type="gram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диагностическую</w:t>
      </w:r>
      <w:proofErr w:type="gram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коронарографию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с возможной последующей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реваскуляризацией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миокарда. </w:t>
      </w:r>
      <w:proofErr w:type="gram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Еще хуже, когда терапия замещается лекарствами без подтвержденной в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рандомизированных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многоцентровых исследованиях доказательной базы (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мильдоний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,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тиотриазолин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и другие), что создает проблемы с неоправданной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полипрагмазией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, риском возникновения побочных реакций и дополнительными финансовыми затратами.</w:t>
      </w:r>
      <w:proofErr w:type="gram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Экономическая составляющая терапии имеет для украинских участников CLARIFY особое значение, потому что 96 % из них покупали необходимые медикаменты самостоятельно, в отличие от других стран мира, где в 78 % случаев частичное или полное возмещение стоимости терапии производится за счет государственных, страховых и других структур.</w:t>
      </w:r>
    </w:p>
    <w:p w:rsidR="00041C93" w:rsidRPr="00041C93" w:rsidRDefault="00041C93" w:rsidP="00041C9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proofErr w:type="gram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В заключение следует отметить исходно более тяжелый клинический статус больных с ИБС, вошедших в исследование CLARIFY в Украине, по сравнению с общей группой, более низкий уровень обследования, диагностики и стратификации риска (стресс-тест,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коронароангиография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), недостаточную эффективность проводимой медикаментозной терапии (более высокие уровни ХС ЛПНП и ЧСС, несмотря на назначение соответствующих лекарственных средств), более редкое использование интервенционных и хирургических методов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реваскуляризации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миокарда</w:t>
      </w:r>
      <w:proofErr w:type="gram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. Вместе с тем, участие Украины в международном регистре CLARIFY имеет большое значение для практической кардиологии. Данные, полученные в ходе исследования, позволят не только изучить особенности украинского пациента с хронической ИБС, но и оценить позиции отечественной клинической практики по сравнению с другими странами мира, а также оптимизировать диагностику и лечение таких больных.</w:t>
      </w:r>
    </w:p>
    <w:p w:rsidR="00041C93" w:rsidRPr="00041C93" w:rsidRDefault="00041C93" w:rsidP="00041C9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r w:rsidRPr="00041C93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ru-RU"/>
        </w:rPr>
        <w:t>Литература</w:t>
      </w:r>
    </w:p>
    <w:p w:rsidR="00041C93" w:rsidRPr="00041C93" w:rsidRDefault="00041C93" w:rsidP="00041C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Корнацький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В.М.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Серцево-судинна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захворюваність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в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Україні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та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рекомендації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щодо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покращення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здоров’я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в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сучасних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умовах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.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Аналітично-статистичний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</w:t>
      </w:r>
      <w:proofErr w:type="spellStart"/>
      <w:proofErr w:type="gram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пос</w:t>
      </w:r>
      <w:proofErr w:type="gram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ібник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.– К., 2012.– 117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c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.</w:t>
      </w:r>
    </w:p>
    <w:p w:rsidR="00041C93" w:rsidRPr="00041C93" w:rsidRDefault="00041C93" w:rsidP="00041C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Лікування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стабільної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стенокардії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.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Методичні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рекомендації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Асоціації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кардіологів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України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.– К., 2012.– 69 с.</w:t>
      </w:r>
    </w:p>
    <w:p w:rsidR="00041C93" w:rsidRPr="00041C93" w:rsidRDefault="00041C93" w:rsidP="00041C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Настанова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з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кардіолог</w:t>
      </w:r>
      <w:proofErr w:type="gram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ії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/ З</w:t>
      </w:r>
      <w:proofErr w:type="gram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а ред. В.М. Коваленка.– К.,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Моріон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, 2009.</w:t>
      </w:r>
    </w:p>
    <w:p w:rsidR="00041C93" w:rsidRPr="00041C93" w:rsidRDefault="00041C93" w:rsidP="00041C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Серцево-судинні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захворювання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.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Класифікація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,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стандарти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діагностики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та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лікування</w:t>
      </w:r>
      <w:proofErr w:type="spellEnd"/>
      <w:proofErr w:type="gram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/ З</w:t>
      </w:r>
      <w:proofErr w:type="gram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а ред. В.М. Коваленка, М.І.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Лутая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, Ю.М.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Сіренка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.– К., 2011.</w:t>
      </w:r>
    </w:p>
    <w:p w:rsidR="00041C93" w:rsidRPr="00041C93" w:rsidRDefault="00041C93" w:rsidP="00041C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r w:rsidRPr="00041C93">
        <w:rPr>
          <w:rFonts w:ascii="Verdana" w:eastAsia="Times New Roman" w:hAnsi="Verdana" w:cs="Times New Roman"/>
          <w:color w:val="333333"/>
          <w:sz w:val="15"/>
          <w:szCs w:val="15"/>
          <w:lang w:val="en-US" w:eastAsia="ru-RU"/>
        </w:rPr>
        <w:t xml:space="preserve">Diaz A., Bourassa M.G.,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val="en-US" w:eastAsia="ru-RU"/>
        </w:rPr>
        <w:t>Guertin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val="en-US" w:eastAsia="ru-RU"/>
        </w:rPr>
        <w:t xml:space="preserve"> M. et al. Long-term prognostic value of resting heart rate in patients with suspected or proven coronary artery disease // Eur.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Heart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J.– 2005.–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Vol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. 26.– P. 967–974.</w:t>
      </w:r>
    </w:p>
    <w:p w:rsidR="00041C93" w:rsidRPr="00041C93" w:rsidRDefault="00041C93" w:rsidP="00041C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r w:rsidRPr="00041C93">
        <w:rPr>
          <w:rFonts w:ascii="Verdana" w:eastAsia="Times New Roman" w:hAnsi="Verdana" w:cs="Times New Roman"/>
          <w:color w:val="333333"/>
          <w:sz w:val="15"/>
          <w:szCs w:val="15"/>
          <w:lang w:val="en-US" w:eastAsia="ru-RU"/>
        </w:rPr>
        <w:t xml:space="preserve">ESC/EACTS Guidelines on myocardial revascularization // Eur.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Heart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J</w:t>
      </w:r>
      <w:proofErr w:type="gram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.–</w:t>
      </w:r>
      <w:proofErr w:type="gram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2010.– doi:10 1093.</w:t>
      </w:r>
    </w:p>
    <w:p w:rsidR="00041C93" w:rsidRPr="00041C93" w:rsidRDefault="00041C93" w:rsidP="00041C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r w:rsidRPr="00041C93">
        <w:rPr>
          <w:rFonts w:ascii="Verdana" w:eastAsia="Times New Roman" w:hAnsi="Verdana" w:cs="Times New Roman"/>
          <w:color w:val="333333"/>
          <w:sz w:val="15"/>
          <w:szCs w:val="15"/>
          <w:lang w:val="en-US" w:eastAsia="ru-RU"/>
        </w:rPr>
        <w:t xml:space="preserve">ESC/EAS Guidelines for management of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val="en-US" w:eastAsia="ru-RU"/>
        </w:rPr>
        <w:t>dyslipidaemias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val="en-US" w:eastAsia="ru-RU"/>
        </w:rPr>
        <w:t xml:space="preserve"> // Eur.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Heart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J</w:t>
      </w:r>
      <w:proofErr w:type="gram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.–</w:t>
      </w:r>
      <w:proofErr w:type="gram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2011.–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Vol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. 32.– P. 1769–1818.</w:t>
      </w:r>
    </w:p>
    <w:p w:rsidR="00041C93" w:rsidRPr="00041C93" w:rsidRDefault="00041C93" w:rsidP="00041C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r w:rsidRPr="00041C93">
        <w:rPr>
          <w:rFonts w:ascii="Verdana" w:eastAsia="Times New Roman" w:hAnsi="Verdana" w:cs="Times New Roman"/>
          <w:color w:val="333333"/>
          <w:sz w:val="15"/>
          <w:szCs w:val="15"/>
          <w:lang w:val="en-US" w:eastAsia="ru-RU"/>
        </w:rPr>
        <w:lastRenderedPageBreak/>
        <w:t xml:space="preserve">Fox K., Ford I.,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val="en-US" w:eastAsia="ru-RU"/>
        </w:rPr>
        <w:t>Steg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val="en-US" w:eastAsia="ru-RU"/>
        </w:rPr>
        <w:t xml:space="preserve"> P.G. et al Relationship between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val="en-US" w:eastAsia="ru-RU"/>
        </w:rPr>
        <w:t>ivabradine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val="en-US" w:eastAsia="ru-RU"/>
        </w:rPr>
        <w:t xml:space="preserve"> treatment and cardiovascular outcomes in patients with stable coronary artery disease and left ventricular systolic dysfunction with limiting angina: a subgroup analysis of the randomized, controlled BEAUTIFUL trial // Eur.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Heart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J.– 2009.–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Aug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. 31.– P. 1–9.</w:t>
      </w:r>
    </w:p>
    <w:p w:rsidR="00041C93" w:rsidRPr="00041C93" w:rsidRDefault="00041C93" w:rsidP="00041C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val="en-US" w:eastAsia="ru-RU"/>
        </w:rPr>
        <w:t>Freemanlle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val="en-US" w:eastAsia="ru-RU"/>
        </w:rPr>
        <w:t xml:space="preserve"> N., Cleland J., Young P. et al. Beta-blockade after myocardial infarction: systematic review and meta regression analysis // Brit. Med. J.– 1999.–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Vol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. 318.– P. 1730–1737.</w:t>
      </w:r>
    </w:p>
    <w:p w:rsidR="00041C93" w:rsidRPr="00041C93" w:rsidRDefault="00041C93" w:rsidP="00041C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val="en-US" w:eastAsia="ru-RU"/>
        </w:rPr>
        <w:t>Frishman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val="en-US" w:eastAsia="ru-RU"/>
        </w:rPr>
        <w:t xml:space="preserve"> W.H.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val="en-US" w:eastAsia="ru-RU"/>
        </w:rPr>
        <w:t>Postinfarction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val="en-US" w:eastAsia="ru-RU"/>
        </w:rPr>
        <w:t xml:space="preserve"> survival: Role of beta-adrenergic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val="en-US" w:eastAsia="ru-RU"/>
        </w:rPr>
        <w:t>blocade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val="en-US" w:eastAsia="ru-RU"/>
        </w:rPr>
        <w:t xml:space="preserve"> // Atherosclerosis and coronary artery disease / Ed. V.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val="en-US" w:eastAsia="ru-RU"/>
        </w:rPr>
        <w:t>Fuster</w:t>
      </w:r>
      <w:proofErr w:type="spellEnd"/>
      <w:proofErr w:type="gram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val="en-US" w:eastAsia="ru-RU"/>
        </w:rPr>
        <w:t>.–</w:t>
      </w:r>
      <w:proofErr w:type="gram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val="en-US" w:eastAsia="ru-RU"/>
        </w:rPr>
        <w:t xml:space="preserve">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Philadelphia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: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Lip-pencott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, 1996.– P. 1205–1214.</w:t>
      </w:r>
    </w:p>
    <w:p w:rsidR="00041C93" w:rsidRPr="00041C93" w:rsidRDefault="00041C93" w:rsidP="00041C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r w:rsidRPr="00041C93">
        <w:rPr>
          <w:rFonts w:ascii="Verdana" w:eastAsia="Times New Roman" w:hAnsi="Verdana" w:cs="Times New Roman"/>
          <w:color w:val="333333"/>
          <w:sz w:val="15"/>
          <w:szCs w:val="15"/>
          <w:lang w:val="en-US" w:eastAsia="ru-RU"/>
        </w:rPr>
        <w:t xml:space="preserve">Guidelines on management of stable angina pectoris // Eur.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Heart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J</w:t>
      </w:r>
      <w:proofErr w:type="gram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.–</w:t>
      </w:r>
      <w:proofErr w:type="gram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2006.– doi:10 1093.</w:t>
      </w:r>
    </w:p>
    <w:p w:rsidR="00041C93" w:rsidRPr="00041C93" w:rsidRDefault="00041C93" w:rsidP="00041C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val="en-US" w:eastAsia="ru-RU"/>
        </w:rPr>
        <w:t>Steg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val="en-US" w:eastAsia="ru-RU"/>
        </w:rPr>
        <w:t xml:space="preserve"> P.G., Ferrari R., Ford I. et al., CLARIFY Investigators. Heart rate and use of beta-blockers in stable outpatients with coronary artery disease //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val="en-US" w:eastAsia="ru-RU"/>
        </w:rPr>
        <w:t>PLoS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val="en-US" w:eastAsia="ru-RU"/>
        </w:rPr>
        <w:t xml:space="preserve"> One</w:t>
      </w:r>
      <w:proofErr w:type="gram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val="en-US" w:eastAsia="ru-RU"/>
        </w:rPr>
        <w:t>.–</w:t>
      </w:r>
      <w:proofErr w:type="gram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val="en-US" w:eastAsia="ru-RU"/>
        </w:rPr>
        <w:t xml:space="preserve"> 2012.–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Vol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. 7 (5).– P. 36284.</w:t>
      </w:r>
    </w:p>
    <w:p w:rsidR="00041C93" w:rsidRDefault="00041C93" w:rsidP="00041C93">
      <w:pPr>
        <w:rPr>
          <w:rFonts w:ascii="Verdana" w:eastAsia="Times New Roman" w:hAnsi="Verdana" w:cs="Times New Roman"/>
          <w:color w:val="333333"/>
          <w:sz w:val="15"/>
          <w:szCs w:val="15"/>
          <w:lang w:val="uk-UA" w:eastAsia="ru-RU"/>
        </w:rPr>
      </w:pPr>
      <w:r w:rsidRPr="00041C93">
        <w:rPr>
          <w:rFonts w:ascii="Verdana" w:eastAsia="Times New Roman" w:hAnsi="Verdana" w:cs="Times New Roman"/>
          <w:color w:val="333333"/>
          <w:sz w:val="15"/>
          <w:szCs w:val="15"/>
          <w:lang w:val="en-US" w:eastAsia="ru-RU"/>
        </w:rPr>
        <w:t xml:space="preserve">Tardif J.-C.,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val="en-US" w:eastAsia="ru-RU"/>
        </w:rPr>
        <w:t>Ponikowski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val="en-US" w:eastAsia="ru-RU"/>
        </w:rPr>
        <w:t xml:space="preserve"> P.,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val="en-US" w:eastAsia="ru-RU"/>
        </w:rPr>
        <w:t>Kahan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val="en-US" w:eastAsia="ru-RU"/>
        </w:rPr>
        <w:t xml:space="preserve"> Th. Efficacy of the If current inhibitor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val="en-US" w:eastAsia="ru-RU"/>
        </w:rPr>
        <w:t>ivabradine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val="en-US" w:eastAsia="ru-RU"/>
        </w:rPr>
        <w:t xml:space="preserve"> in patients with chronic stable angina receiving beta-blocker therapy: a 4 month, randomized, placebo-controlled trial (ASSOCIATE study) // Eur.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Heart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J</w:t>
      </w:r>
      <w:proofErr w:type="gram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.–</w:t>
      </w:r>
      <w:proofErr w:type="gram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 xml:space="preserve"> 2009.– </w:t>
      </w:r>
      <w:proofErr w:type="spellStart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Jan</w:t>
      </w:r>
      <w:proofErr w:type="spellEnd"/>
      <w:r w:rsidRPr="00041C93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. 9.– P. 1–9.</w:t>
      </w:r>
    </w:p>
    <w:sectPr w:rsidR="00041C93" w:rsidSect="008F2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A5842"/>
    <w:multiLevelType w:val="multilevel"/>
    <w:tmpl w:val="44AE4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E87DAA"/>
    <w:multiLevelType w:val="multilevel"/>
    <w:tmpl w:val="638EB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C342BA"/>
    <w:multiLevelType w:val="multilevel"/>
    <w:tmpl w:val="EC5C2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41C93"/>
    <w:rsid w:val="000017E4"/>
    <w:rsid w:val="00002A27"/>
    <w:rsid w:val="00003E53"/>
    <w:rsid w:val="00003EDA"/>
    <w:rsid w:val="00005897"/>
    <w:rsid w:val="00005F11"/>
    <w:rsid w:val="00006C55"/>
    <w:rsid w:val="00007608"/>
    <w:rsid w:val="00010097"/>
    <w:rsid w:val="000118BF"/>
    <w:rsid w:val="00012BAE"/>
    <w:rsid w:val="00013048"/>
    <w:rsid w:val="0001442E"/>
    <w:rsid w:val="00017603"/>
    <w:rsid w:val="00020254"/>
    <w:rsid w:val="0002077D"/>
    <w:rsid w:val="00023B8E"/>
    <w:rsid w:val="00025D4D"/>
    <w:rsid w:val="000277DF"/>
    <w:rsid w:val="00032F17"/>
    <w:rsid w:val="00033567"/>
    <w:rsid w:val="0003375F"/>
    <w:rsid w:val="00036692"/>
    <w:rsid w:val="00036C99"/>
    <w:rsid w:val="00037F54"/>
    <w:rsid w:val="0004089D"/>
    <w:rsid w:val="00041C93"/>
    <w:rsid w:val="00043D41"/>
    <w:rsid w:val="00044543"/>
    <w:rsid w:val="00044B2D"/>
    <w:rsid w:val="00045837"/>
    <w:rsid w:val="00051AA9"/>
    <w:rsid w:val="00051E88"/>
    <w:rsid w:val="00053D3B"/>
    <w:rsid w:val="0005594D"/>
    <w:rsid w:val="00056271"/>
    <w:rsid w:val="000566E7"/>
    <w:rsid w:val="00056DF9"/>
    <w:rsid w:val="00057F03"/>
    <w:rsid w:val="00060DF5"/>
    <w:rsid w:val="00060EE6"/>
    <w:rsid w:val="00061CFA"/>
    <w:rsid w:val="000638AF"/>
    <w:rsid w:val="00064B23"/>
    <w:rsid w:val="000655EA"/>
    <w:rsid w:val="00067270"/>
    <w:rsid w:val="0006769E"/>
    <w:rsid w:val="00067F7D"/>
    <w:rsid w:val="00071934"/>
    <w:rsid w:val="00071E3B"/>
    <w:rsid w:val="000720EC"/>
    <w:rsid w:val="000729B1"/>
    <w:rsid w:val="0007349C"/>
    <w:rsid w:val="00075147"/>
    <w:rsid w:val="000755FE"/>
    <w:rsid w:val="0007565D"/>
    <w:rsid w:val="00075935"/>
    <w:rsid w:val="0007777D"/>
    <w:rsid w:val="00080243"/>
    <w:rsid w:val="000808E5"/>
    <w:rsid w:val="00084124"/>
    <w:rsid w:val="00084550"/>
    <w:rsid w:val="00085661"/>
    <w:rsid w:val="000910FB"/>
    <w:rsid w:val="0009244F"/>
    <w:rsid w:val="000928FE"/>
    <w:rsid w:val="00092B86"/>
    <w:rsid w:val="00092D95"/>
    <w:rsid w:val="000957C9"/>
    <w:rsid w:val="00095820"/>
    <w:rsid w:val="000A259E"/>
    <w:rsid w:val="000A68C2"/>
    <w:rsid w:val="000B1097"/>
    <w:rsid w:val="000B2328"/>
    <w:rsid w:val="000B23A0"/>
    <w:rsid w:val="000B4430"/>
    <w:rsid w:val="000B477D"/>
    <w:rsid w:val="000B4B8F"/>
    <w:rsid w:val="000B7D35"/>
    <w:rsid w:val="000C03FD"/>
    <w:rsid w:val="000C2E0E"/>
    <w:rsid w:val="000C2ED3"/>
    <w:rsid w:val="000C2F76"/>
    <w:rsid w:val="000C7600"/>
    <w:rsid w:val="000D0B22"/>
    <w:rsid w:val="000D11CE"/>
    <w:rsid w:val="000D6044"/>
    <w:rsid w:val="000E0E99"/>
    <w:rsid w:val="000E11D6"/>
    <w:rsid w:val="000E213E"/>
    <w:rsid w:val="000E4729"/>
    <w:rsid w:val="000E4AAA"/>
    <w:rsid w:val="000E50F0"/>
    <w:rsid w:val="000E71D6"/>
    <w:rsid w:val="000E75AF"/>
    <w:rsid w:val="000E7B44"/>
    <w:rsid w:val="000F09AE"/>
    <w:rsid w:val="000F0D4E"/>
    <w:rsid w:val="000F10DC"/>
    <w:rsid w:val="000F658F"/>
    <w:rsid w:val="000F7731"/>
    <w:rsid w:val="000F7E84"/>
    <w:rsid w:val="0010060C"/>
    <w:rsid w:val="00101F23"/>
    <w:rsid w:val="0010373F"/>
    <w:rsid w:val="001037E6"/>
    <w:rsid w:val="00103BDA"/>
    <w:rsid w:val="0010422E"/>
    <w:rsid w:val="001047DA"/>
    <w:rsid w:val="00105C36"/>
    <w:rsid w:val="0010705F"/>
    <w:rsid w:val="001079A4"/>
    <w:rsid w:val="00110AE6"/>
    <w:rsid w:val="00111572"/>
    <w:rsid w:val="00111E93"/>
    <w:rsid w:val="001128DD"/>
    <w:rsid w:val="00113164"/>
    <w:rsid w:val="001132A6"/>
    <w:rsid w:val="0011405C"/>
    <w:rsid w:val="0011413B"/>
    <w:rsid w:val="00114DBD"/>
    <w:rsid w:val="00115086"/>
    <w:rsid w:val="001156B0"/>
    <w:rsid w:val="00116558"/>
    <w:rsid w:val="00116562"/>
    <w:rsid w:val="001178FF"/>
    <w:rsid w:val="0012463F"/>
    <w:rsid w:val="00124976"/>
    <w:rsid w:val="00124C67"/>
    <w:rsid w:val="00125161"/>
    <w:rsid w:val="001256D7"/>
    <w:rsid w:val="00125782"/>
    <w:rsid w:val="00130282"/>
    <w:rsid w:val="001302C4"/>
    <w:rsid w:val="00130667"/>
    <w:rsid w:val="001306D9"/>
    <w:rsid w:val="001309E6"/>
    <w:rsid w:val="00130FD1"/>
    <w:rsid w:val="0013256B"/>
    <w:rsid w:val="001343E4"/>
    <w:rsid w:val="001360E6"/>
    <w:rsid w:val="00136609"/>
    <w:rsid w:val="0014181E"/>
    <w:rsid w:val="00142BDA"/>
    <w:rsid w:val="00143698"/>
    <w:rsid w:val="00143F3E"/>
    <w:rsid w:val="00144092"/>
    <w:rsid w:val="00146DAD"/>
    <w:rsid w:val="001501A9"/>
    <w:rsid w:val="001522FC"/>
    <w:rsid w:val="0015397A"/>
    <w:rsid w:val="00153A8B"/>
    <w:rsid w:val="00153BF0"/>
    <w:rsid w:val="00154C2F"/>
    <w:rsid w:val="00154CF8"/>
    <w:rsid w:val="00157C3C"/>
    <w:rsid w:val="001607B5"/>
    <w:rsid w:val="00160986"/>
    <w:rsid w:val="00162A26"/>
    <w:rsid w:val="00163092"/>
    <w:rsid w:val="0016312A"/>
    <w:rsid w:val="00165BE5"/>
    <w:rsid w:val="00165D34"/>
    <w:rsid w:val="00166D0E"/>
    <w:rsid w:val="001671DE"/>
    <w:rsid w:val="001701D7"/>
    <w:rsid w:val="0017064E"/>
    <w:rsid w:val="00170B0A"/>
    <w:rsid w:val="001717E5"/>
    <w:rsid w:val="00171D18"/>
    <w:rsid w:val="0017249A"/>
    <w:rsid w:val="00172F18"/>
    <w:rsid w:val="00173270"/>
    <w:rsid w:val="00173657"/>
    <w:rsid w:val="0017367B"/>
    <w:rsid w:val="00173B13"/>
    <w:rsid w:val="00174545"/>
    <w:rsid w:val="0017454D"/>
    <w:rsid w:val="00174861"/>
    <w:rsid w:val="00174EC8"/>
    <w:rsid w:val="0017593C"/>
    <w:rsid w:val="00175BA1"/>
    <w:rsid w:val="00176F2B"/>
    <w:rsid w:val="00177D40"/>
    <w:rsid w:val="00180640"/>
    <w:rsid w:val="00183A85"/>
    <w:rsid w:val="001854C1"/>
    <w:rsid w:val="00190540"/>
    <w:rsid w:val="00194A64"/>
    <w:rsid w:val="001950AF"/>
    <w:rsid w:val="00195940"/>
    <w:rsid w:val="00196AD9"/>
    <w:rsid w:val="0019762F"/>
    <w:rsid w:val="001A28FE"/>
    <w:rsid w:val="001A2B92"/>
    <w:rsid w:val="001A446A"/>
    <w:rsid w:val="001A6D34"/>
    <w:rsid w:val="001A70C4"/>
    <w:rsid w:val="001B1099"/>
    <w:rsid w:val="001B15C4"/>
    <w:rsid w:val="001B171F"/>
    <w:rsid w:val="001B2E86"/>
    <w:rsid w:val="001B3C87"/>
    <w:rsid w:val="001B5D0E"/>
    <w:rsid w:val="001B6D26"/>
    <w:rsid w:val="001B7848"/>
    <w:rsid w:val="001B7949"/>
    <w:rsid w:val="001C07B5"/>
    <w:rsid w:val="001C2078"/>
    <w:rsid w:val="001C2F4F"/>
    <w:rsid w:val="001C40CF"/>
    <w:rsid w:val="001C509C"/>
    <w:rsid w:val="001C64CE"/>
    <w:rsid w:val="001C739F"/>
    <w:rsid w:val="001D0425"/>
    <w:rsid w:val="001D0B46"/>
    <w:rsid w:val="001D0BCB"/>
    <w:rsid w:val="001D0D84"/>
    <w:rsid w:val="001D27CF"/>
    <w:rsid w:val="001D43AE"/>
    <w:rsid w:val="001D55DD"/>
    <w:rsid w:val="001D6DDC"/>
    <w:rsid w:val="001E06E1"/>
    <w:rsid w:val="001E161F"/>
    <w:rsid w:val="001E1842"/>
    <w:rsid w:val="001E18DD"/>
    <w:rsid w:val="001E211A"/>
    <w:rsid w:val="001E3377"/>
    <w:rsid w:val="001E3CF0"/>
    <w:rsid w:val="001E3E0F"/>
    <w:rsid w:val="001E6DBB"/>
    <w:rsid w:val="001E6EF2"/>
    <w:rsid w:val="001E733B"/>
    <w:rsid w:val="001F240F"/>
    <w:rsid w:val="001F26D8"/>
    <w:rsid w:val="001F2B16"/>
    <w:rsid w:val="001F2CA8"/>
    <w:rsid w:val="001F3712"/>
    <w:rsid w:val="001F3FAA"/>
    <w:rsid w:val="001F405F"/>
    <w:rsid w:val="001F59FF"/>
    <w:rsid w:val="001F6080"/>
    <w:rsid w:val="00202C6D"/>
    <w:rsid w:val="002040D9"/>
    <w:rsid w:val="00204483"/>
    <w:rsid w:val="0020458A"/>
    <w:rsid w:val="00205F53"/>
    <w:rsid w:val="00206160"/>
    <w:rsid w:val="00207767"/>
    <w:rsid w:val="002078D0"/>
    <w:rsid w:val="002079EE"/>
    <w:rsid w:val="00207C0F"/>
    <w:rsid w:val="002110AC"/>
    <w:rsid w:val="002116A3"/>
    <w:rsid w:val="00212122"/>
    <w:rsid w:val="0021213B"/>
    <w:rsid w:val="00212EB4"/>
    <w:rsid w:val="00213ACA"/>
    <w:rsid w:val="00213E92"/>
    <w:rsid w:val="00214F54"/>
    <w:rsid w:val="0022143F"/>
    <w:rsid w:val="00222886"/>
    <w:rsid w:val="00226D94"/>
    <w:rsid w:val="00230752"/>
    <w:rsid w:val="002314ED"/>
    <w:rsid w:val="00231657"/>
    <w:rsid w:val="002326F9"/>
    <w:rsid w:val="0023310A"/>
    <w:rsid w:val="0023427E"/>
    <w:rsid w:val="002372D6"/>
    <w:rsid w:val="002377AC"/>
    <w:rsid w:val="002405EC"/>
    <w:rsid w:val="00241557"/>
    <w:rsid w:val="00242188"/>
    <w:rsid w:val="002424FF"/>
    <w:rsid w:val="00242CD1"/>
    <w:rsid w:val="002431BD"/>
    <w:rsid w:val="00244FB7"/>
    <w:rsid w:val="00246142"/>
    <w:rsid w:val="0024676F"/>
    <w:rsid w:val="0024774D"/>
    <w:rsid w:val="002478A3"/>
    <w:rsid w:val="00251493"/>
    <w:rsid w:val="00251D51"/>
    <w:rsid w:val="00256EA7"/>
    <w:rsid w:val="002610E3"/>
    <w:rsid w:val="00265AA4"/>
    <w:rsid w:val="00266647"/>
    <w:rsid w:val="002669BE"/>
    <w:rsid w:val="002708AC"/>
    <w:rsid w:val="002725CC"/>
    <w:rsid w:val="0027284D"/>
    <w:rsid w:val="002735CE"/>
    <w:rsid w:val="00276585"/>
    <w:rsid w:val="002770B4"/>
    <w:rsid w:val="0027743F"/>
    <w:rsid w:val="00277561"/>
    <w:rsid w:val="0027776C"/>
    <w:rsid w:val="00277A37"/>
    <w:rsid w:val="002806C4"/>
    <w:rsid w:val="0028134A"/>
    <w:rsid w:val="00281838"/>
    <w:rsid w:val="00282EEE"/>
    <w:rsid w:val="00284546"/>
    <w:rsid w:val="00284D7C"/>
    <w:rsid w:val="00284EA9"/>
    <w:rsid w:val="00292455"/>
    <w:rsid w:val="00292DFA"/>
    <w:rsid w:val="00293B30"/>
    <w:rsid w:val="00294963"/>
    <w:rsid w:val="002955F1"/>
    <w:rsid w:val="00295723"/>
    <w:rsid w:val="00295F03"/>
    <w:rsid w:val="00296709"/>
    <w:rsid w:val="00296ACA"/>
    <w:rsid w:val="00296E25"/>
    <w:rsid w:val="0029735C"/>
    <w:rsid w:val="002A0433"/>
    <w:rsid w:val="002A0D88"/>
    <w:rsid w:val="002A2430"/>
    <w:rsid w:val="002A243E"/>
    <w:rsid w:val="002A492D"/>
    <w:rsid w:val="002A5572"/>
    <w:rsid w:val="002A5AA6"/>
    <w:rsid w:val="002A7183"/>
    <w:rsid w:val="002A75F5"/>
    <w:rsid w:val="002B04A3"/>
    <w:rsid w:val="002B06A4"/>
    <w:rsid w:val="002B19C9"/>
    <w:rsid w:val="002B257B"/>
    <w:rsid w:val="002B2DF8"/>
    <w:rsid w:val="002B4FDD"/>
    <w:rsid w:val="002B5A9D"/>
    <w:rsid w:val="002B629D"/>
    <w:rsid w:val="002B6ACD"/>
    <w:rsid w:val="002C03CE"/>
    <w:rsid w:val="002C32BD"/>
    <w:rsid w:val="002C5123"/>
    <w:rsid w:val="002C69F1"/>
    <w:rsid w:val="002C6A81"/>
    <w:rsid w:val="002D08C0"/>
    <w:rsid w:val="002D08DF"/>
    <w:rsid w:val="002D23AE"/>
    <w:rsid w:val="002D2AFE"/>
    <w:rsid w:val="002D3592"/>
    <w:rsid w:val="002D4139"/>
    <w:rsid w:val="002D56AC"/>
    <w:rsid w:val="002E1DA0"/>
    <w:rsid w:val="002E25B4"/>
    <w:rsid w:val="002E3374"/>
    <w:rsid w:val="002E3C0F"/>
    <w:rsid w:val="002E4022"/>
    <w:rsid w:val="002E55DB"/>
    <w:rsid w:val="002E629C"/>
    <w:rsid w:val="002E6A40"/>
    <w:rsid w:val="002F215C"/>
    <w:rsid w:val="002F29D4"/>
    <w:rsid w:val="002F2D25"/>
    <w:rsid w:val="002F44BB"/>
    <w:rsid w:val="002F53F7"/>
    <w:rsid w:val="002F5EEF"/>
    <w:rsid w:val="002F726B"/>
    <w:rsid w:val="003006A2"/>
    <w:rsid w:val="003026F9"/>
    <w:rsid w:val="00302811"/>
    <w:rsid w:val="003037B3"/>
    <w:rsid w:val="00306681"/>
    <w:rsid w:val="00307FC7"/>
    <w:rsid w:val="0031076F"/>
    <w:rsid w:val="00311A53"/>
    <w:rsid w:val="003135B9"/>
    <w:rsid w:val="0031434B"/>
    <w:rsid w:val="003152D9"/>
    <w:rsid w:val="00315953"/>
    <w:rsid w:val="00323344"/>
    <w:rsid w:val="003255DC"/>
    <w:rsid w:val="00326C9F"/>
    <w:rsid w:val="003274D5"/>
    <w:rsid w:val="00327976"/>
    <w:rsid w:val="003307EE"/>
    <w:rsid w:val="003320EC"/>
    <w:rsid w:val="00335811"/>
    <w:rsid w:val="00337001"/>
    <w:rsid w:val="0034006C"/>
    <w:rsid w:val="003432BC"/>
    <w:rsid w:val="0034521B"/>
    <w:rsid w:val="0034650C"/>
    <w:rsid w:val="00347C4C"/>
    <w:rsid w:val="003504A6"/>
    <w:rsid w:val="00350BA4"/>
    <w:rsid w:val="00350DA7"/>
    <w:rsid w:val="00353519"/>
    <w:rsid w:val="00355ABF"/>
    <w:rsid w:val="00356A39"/>
    <w:rsid w:val="00356B97"/>
    <w:rsid w:val="00356C60"/>
    <w:rsid w:val="003601A8"/>
    <w:rsid w:val="00360464"/>
    <w:rsid w:val="00360FB2"/>
    <w:rsid w:val="003645C2"/>
    <w:rsid w:val="00365AC5"/>
    <w:rsid w:val="00365FF9"/>
    <w:rsid w:val="0037181C"/>
    <w:rsid w:val="00371F51"/>
    <w:rsid w:val="0037245D"/>
    <w:rsid w:val="00372631"/>
    <w:rsid w:val="00372E3E"/>
    <w:rsid w:val="00373581"/>
    <w:rsid w:val="003741F2"/>
    <w:rsid w:val="00374EDF"/>
    <w:rsid w:val="00377333"/>
    <w:rsid w:val="003805A5"/>
    <w:rsid w:val="00381B06"/>
    <w:rsid w:val="0038214A"/>
    <w:rsid w:val="00382CEE"/>
    <w:rsid w:val="00383297"/>
    <w:rsid w:val="00385543"/>
    <w:rsid w:val="00385F69"/>
    <w:rsid w:val="00386952"/>
    <w:rsid w:val="003876EA"/>
    <w:rsid w:val="00390028"/>
    <w:rsid w:val="00392A27"/>
    <w:rsid w:val="00392C33"/>
    <w:rsid w:val="00392E2E"/>
    <w:rsid w:val="003931B8"/>
    <w:rsid w:val="00393D65"/>
    <w:rsid w:val="00393E6D"/>
    <w:rsid w:val="00393F7D"/>
    <w:rsid w:val="00395A34"/>
    <w:rsid w:val="0039651C"/>
    <w:rsid w:val="0039776C"/>
    <w:rsid w:val="0039780D"/>
    <w:rsid w:val="00397D80"/>
    <w:rsid w:val="00397E7A"/>
    <w:rsid w:val="003A0B29"/>
    <w:rsid w:val="003A15EB"/>
    <w:rsid w:val="003A4939"/>
    <w:rsid w:val="003A5D41"/>
    <w:rsid w:val="003A5FDF"/>
    <w:rsid w:val="003A6D07"/>
    <w:rsid w:val="003B0236"/>
    <w:rsid w:val="003B08B9"/>
    <w:rsid w:val="003B1440"/>
    <w:rsid w:val="003B14B9"/>
    <w:rsid w:val="003B2BB5"/>
    <w:rsid w:val="003B3702"/>
    <w:rsid w:val="003B385F"/>
    <w:rsid w:val="003B53B1"/>
    <w:rsid w:val="003B590A"/>
    <w:rsid w:val="003B75E4"/>
    <w:rsid w:val="003B7650"/>
    <w:rsid w:val="003B7C27"/>
    <w:rsid w:val="003C1F2C"/>
    <w:rsid w:val="003C2DD1"/>
    <w:rsid w:val="003C2E1F"/>
    <w:rsid w:val="003C5409"/>
    <w:rsid w:val="003D29A1"/>
    <w:rsid w:val="003D3E91"/>
    <w:rsid w:val="003D5430"/>
    <w:rsid w:val="003D568B"/>
    <w:rsid w:val="003D58E7"/>
    <w:rsid w:val="003D7A9F"/>
    <w:rsid w:val="003E082C"/>
    <w:rsid w:val="003E134F"/>
    <w:rsid w:val="003E181A"/>
    <w:rsid w:val="003E52A0"/>
    <w:rsid w:val="003E6513"/>
    <w:rsid w:val="003F046E"/>
    <w:rsid w:val="003F21B1"/>
    <w:rsid w:val="003F3485"/>
    <w:rsid w:val="003F52D5"/>
    <w:rsid w:val="003F5C6A"/>
    <w:rsid w:val="003F6378"/>
    <w:rsid w:val="003F71BD"/>
    <w:rsid w:val="003F7568"/>
    <w:rsid w:val="003F7C97"/>
    <w:rsid w:val="00400293"/>
    <w:rsid w:val="0040202A"/>
    <w:rsid w:val="004024B9"/>
    <w:rsid w:val="00402C38"/>
    <w:rsid w:val="00403A3A"/>
    <w:rsid w:val="00403DE2"/>
    <w:rsid w:val="00404EBA"/>
    <w:rsid w:val="00406042"/>
    <w:rsid w:val="00406986"/>
    <w:rsid w:val="00407882"/>
    <w:rsid w:val="0041133B"/>
    <w:rsid w:val="004131B5"/>
    <w:rsid w:val="00413509"/>
    <w:rsid w:val="004140CC"/>
    <w:rsid w:val="00414F4C"/>
    <w:rsid w:val="00415506"/>
    <w:rsid w:val="004168CB"/>
    <w:rsid w:val="00416DAE"/>
    <w:rsid w:val="004177B1"/>
    <w:rsid w:val="00417A6F"/>
    <w:rsid w:val="00420201"/>
    <w:rsid w:val="0042048C"/>
    <w:rsid w:val="00421CDA"/>
    <w:rsid w:val="00422CA7"/>
    <w:rsid w:val="004232B8"/>
    <w:rsid w:val="004249D9"/>
    <w:rsid w:val="004264C6"/>
    <w:rsid w:val="00426E90"/>
    <w:rsid w:val="0042727F"/>
    <w:rsid w:val="004275DF"/>
    <w:rsid w:val="004339CB"/>
    <w:rsid w:val="00434406"/>
    <w:rsid w:val="00434C2C"/>
    <w:rsid w:val="0043569F"/>
    <w:rsid w:val="00440D76"/>
    <w:rsid w:val="004416F5"/>
    <w:rsid w:val="00442302"/>
    <w:rsid w:val="00442740"/>
    <w:rsid w:val="004433F1"/>
    <w:rsid w:val="00444A74"/>
    <w:rsid w:val="004454A2"/>
    <w:rsid w:val="004457C1"/>
    <w:rsid w:val="004474CA"/>
    <w:rsid w:val="004479A9"/>
    <w:rsid w:val="004516DA"/>
    <w:rsid w:val="00452751"/>
    <w:rsid w:val="00453D6F"/>
    <w:rsid w:val="0045498D"/>
    <w:rsid w:val="00455226"/>
    <w:rsid w:val="00455C7A"/>
    <w:rsid w:val="00457392"/>
    <w:rsid w:val="00460A93"/>
    <w:rsid w:val="00461BD4"/>
    <w:rsid w:val="004626B8"/>
    <w:rsid w:val="00462882"/>
    <w:rsid w:val="00466B44"/>
    <w:rsid w:val="00466F9D"/>
    <w:rsid w:val="0047115B"/>
    <w:rsid w:val="00472026"/>
    <w:rsid w:val="004751FA"/>
    <w:rsid w:val="00476CDD"/>
    <w:rsid w:val="00477A17"/>
    <w:rsid w:val="004805BC"/>
    <w:rsid w:val="004813A5"/>
    <w:rsid w:val="004823FF"/>
    <w:rsid w:val="00483D05"/>
    <w:rsid w:val="00485564"/>
    <w:rsid w:val="00486493"/>
    <w:rsid w:val="004866A6"/>
    <w:rsid w:val="0049001B"/>
    <w:rsid w:val="00491724"/>
    <w:rsid w:val="00491D80"/>
    <w:rsid w:val="00496FE1"/>
    <w:rsid w:val="0049788D"/>
    <w:rsid w:val="004A0834"/>
    <w:rsid w:val="004A104E"/>
    <w:rsid w:val="004A2344"/>
    <w:rsid w:val="004A2919"/>
    <w:rsid w:val="004A2941"/>
    <w:rsid w:val="004A5134"/>
    <w:rsid w:val="004A6BCF"/>
    <w:rsid w:val="004A73B3"/>
    <w:rsid w:val="004A73DB"/>
    <w:rsid w:val="004A7DA2"/>
    <w:rsid w:val="004B309F"/>
    <w:rsid w:val="004B31AA"/>
    <w:rsid w:val="004B5037"/>
    <w:rsid w:val="004B7046"/>
    <w:rsid w:val="004C0703"/>
    <w:rsid w:val="004C0B35"/>
    <w:rsid w:val="004C15AE"/>
    <w:rsid w:val="004C338E"/>
    <w:rsid w:val="004C3D1A"/>
    <w:rsid w:val="004C3EEE"/>
    <w:rsid w:val="004C46D5"/>
    <w:rsid w:val="004C5A62"/>
    <w:rsid w:val="004C7E0E"/>
    <w:rsid w:val="004D00EE"/>
    <w:rsid w:val="004D0453"/>
    <w:rsid w:val="004D15D5"/>
    <w:rsid w:val="004D387A"/>
    <w:rsid w:val="004D3B86"/>
    <w:rsid w:val="004D47EF"/>
    <w:rsid w:val="004D482F"/>
    <w:rsid w:val="004D4BBF"/>
    <w:rsid w:val="004D6499"/>
    <w:rsid w:val="004D6D07"/>
    <w:rsid w:val="004D765E"/>
    <w:rsid w:val="004E0628"/>
    <w:rsid w:val="004E144F"/>
    <w:rsid w:val="004E1FC3"/>
    <w:rsid w:val="004E2686"/>
    <w:rsid w:val="004E37B0"/>
    <w:rsid w:val="004E3E14"/>
    <w:rsid w:val="004E56B9"/>
    <w:rsid w:val="004E5BD1"/>
    <w:rsid w:val="004E6622"/>
    <w:rsid w:val="004E7A07"/>
    <w:rsid w:val="004F2EDA"/>
    <w:rsid w:val="004F3290"/>
    <w:rsid w:val="004F6781"/>
    <w:rsid w:val="00500118"/>
    <w:rsid w:val="00500735"/>
    <w:rsid w:val="00500E45"/>
    <w:rsid w:val="0050172C"/>
    <w:rsid w:val="00502628"/>
    <w:rsid w:val="00502A04"/>
    <w:rsid w:val="00502A73"/>
    <w:rsid w:val="005032EC"/>
    <w:rsid w:val="0050371D"/>
    <w:rsid w:val="00503DD1"/>
    <w:rsid w:val="005079AF"/>
    <w:rsid w:val="00510276"/>
    <w:rsid w:val="005123BB"/>
    <w:rsid w:val="005128EF"/>
    <w:rsid w:val="00512DC3"/>
    <w:rsid w:val="00513BF9"/>
    <w:rsid w:val="00514815"/>
    <w:rsid w:val="0051566E"/>
    <w:rsid w:val="00520295"/>
    <w:rsid w:val="00521ED1"/>
    <w:rsid w:val="005225F0"/>
    <w:rsid w:val="00522653"/>
    <w:rsid w:val="0052446B"/>
    <w:rsid w:val="00524827"/>
    <w:rsid w:val="00524897"/>
    <w:rsid w:val="00524BF5"/>
    <w:rsid w:val="00524FF7"/>
    <w:rsid w:val="0053082D"/>
    <w:rsid w:val="00532A9E"/>
    <w:rsid w:val="0053381E"/>
    <w:rsid w:val="005339F4"/>
    <w:rsid w:val="005357ED"/>
    <w:rsid w:val="005371D5"/>
    <w:rsid w:val="00537B60"/>
    <w:rsid w:val="00540195"/>
    <w:rsid w:val="00540953"/>
    <w:rsid w:val="0054125F"/>
    <w:rsid w:val="00541487"/>
    <w:rsid w:val="00542C32"/>
    <w:rsid w:val="00543554"/>
    <w:rsid w:val="00544363"/>
    <w:rsid w:val="005448FE"/>
    <w:rsid w:val="00544C12"/>
    <w:rsid w:val="00550F16"/>
    <w:rsid w:val="00552288"/>
    <w:rsid w:val="00552D34"/>
    <w:rsid w:val="00554F17"/>
    <w:rsid w:val="0055598F"/>
    <w:rsid w:val="00560129"/>
    <w:rsid w:val="005617B3"/>
    <w:rsid w:val="00562270"/>
    <w:rsid w:val="0056263E"/>
    <w:rsid w:val="005632E1"/>
    <w:rsid w:val="00564A7C"/>
    <w:rsid w:val="00564C91"/>
    <w:rsid w:val="00571B18"/>
    <w:rsid w:val="00571DC8"/>
    <w:rsid w:val="00572426"/>
    <w:rsid w:val="00572A5B"/>
    <w:rsid w:val="00573013"/>
    <w:rsid w:val="00573F44"/>
    <w:rsid w:val="0057521B"/>
    <w:rsid w:val="00577B46"/>
    <w:rsid w:val="00577CDC"/>
    <w:rsid w:val="00580948"/>
    <w:rsid w:val="00583113"/>
    <w:rsid w:val="00583FA6"/>
    <w:rsid w:val="005841F5"/>
    <w:rsid w:val="00586DF0"/>
    <w:rsid w:val="00590832"/>
    <w:rsid w:val="00591D7D"/>
    <w:rsid w:val="005939A3"/>
    <w:rsid w:val="005957E6"/>
    <w:rsid w:val="0059668A"/>
    <w:rsid w:val="00596F51"/>
    <w:rsid w:val="00597202"/>
    <w:rsid w:val="005A32A8"/>
    <w:rsid w:val="005A3D8E"/>
    <w:rsid w:val="005A4552"/>
    <w:rsid w:val="005A5215"/>
    <w:rsid w:val="005A530B"/>
    <w:rsid w:val="005A7E57"/>
    <w:rsid w:val="005B0D0D"/>
    <w:rsid w:val="005B2DF7"/>
    <w:rsid w:val="005B3F62"/>
    <w:rsid w:val="005B66EA"/>
    <w:rsid w:val="005C0305"/>
    <w:rsid w:val="005C0308"/>
    <w:rsid w:val="005C0C89"/>
    <w:rsid w:val="005C0E55"/>
    <w:rsid w:val="005C2C18"/>
    <w:rsid w:val="005C395A"/>
    <w:rsid w:val="005C3B25"/>
    <w:rsid w:val="005C3C64"/>
    <w:rsid w:val="005C7900"/>
    <w:rsid w:val="005C7B20"/>
    <w:rsid w:val="005D06B7"/>
    <w:rsid w:val="005D0A4C"/>
    <w:rsid w:val="005D1493"/>
    <w:rsid w:val="005D1676"/>
    <w:rsid w:val="005D1BFF"/>
    <w:rsid w:val="005D2AC2"/>
    <w:rsid w:val="005D3412"/>
    <w:rsid w:val="005D46AC"/>
    <w:rsid w:val="005D4D5E"/>
    <w:rsid w:val="005D5A7B"/>
    <w:rsid w:val="005D692D"/>
    <w:rsid w:val="005E1816"/>
    <w:rsid w:val="005E355C"/>
    <w:rsid w:val="005E38C5"/>
    <w:rsid w:val="005E3FF3"/>
    <w:rsid w:val="005E5137"/>
    <w:rsid w:val="005E72D3"/>
    <w:rsid w:val="005F0A80"/>
    <w:rsid w:val="005F20AC"/>
    <w:rsid w:val="005F23F2"/>
    <w:rsid w:val="005F31DF"/>
    <w:rsid w:val="005F384F"/>
    <w:rsid w:val="005F3876"/>
    <w:rsid w:val="005F5AEA"/>
    <w:rsid w:val="005F6B62"/>
    <w:rsid w:val="005F72AE"/>
    <w:rsid w:val="005F7869"/>
    <w:rsid w:val="00600FF7"/>
    <w:rsid w:val="00603F91"/>
    <w:rsid w:val="00606078"/>
    <w:rsid w:val="0060678B"/>
    <w:rsid w:val="006074EC"/>
    <w:rsid w:val="00611DAC"/>
    <w:rsid w:val="006124D6"/>
    <w:rsid w:val="00612A7D"/>
    <w:rsid w:val="006134EA"/>
    <w:rsid w:val="00614632"/>
    <w:rsid w:val="0061570E"/>
    <w:rsid w:val="00622338"/>
    <w:rsid w:val="0062392B"/>
    <w:rsid w:val="006248BE"/>
    <w:rsid w:val="0062531D"/>
    <w:rsid w:val="006254DB"/>
    <w:rsid w:val="006258C4"/>
    <w:rsid w:val="006259D6"/>
    <w:rsid w:val="00626AE0"/>
    <w:rsid w:val="00627463"/>
    <w:rsid w:val="0062776F"/>
    <w:rsid w:val="00627BA9"/>
    <w:rsid w:val="00632A86"/>
    <w:rsid w:val="006331CA"/>
    <w:rsid w:val="0063408A"/>
    <w:rsid w:val="00634564"/>
    <w:rsid w:val="006351B5"/>
    <w:rsid w:val="00635287"/>
    <w:rsid w:val="00635C9D"/>
    <w:rsid w:val="0063746E"/>
    <w:rsid w:val="00637498"/>
    <w:rsid w:val="006376A8"/>
    <w:rsid w:val="006402E6"/>
    <w:rsid w:val="006415F8"/>
    <w:rsid w:val="006431DD"/>
    <w:rsid w:val="006448E1"/>
    <w:rsid w:val="00644EF2"/>
    <w:rsid w:val="006461FE"/>
    <w:rsid w:val="006501EE"/>
    <w:rsid w:val="00651CCC"/>
    <w:rsid w:val="0065465B"/>
    <w:rsid w:val="00654D8D"/>
    <w:rsid w:val="00655C41"/>
    <w:rsid w:val="00657BAD"/>
    <w:rsid w:val="006627CA"/>
    <w:rsid w:val="00662BCF"/>
    <w:rsid w:val="00663538"/>
    <w:rsid w:val="00663F74"/>
    <w:rsid w:val="00664DA8"/>
    <w:rsid w:val="006655AC"/>
    <w:rsid w:val="00665A2A"/>
    <w:rsid w:val="00665D25"/>
    <w:rsid w:val="006667EF"/>
    <w:rsid w:val="006668BD"/>
    <w:rsid w:val="0067009E"/>
    <w:rsid w:val="00670367"/>
    <w:rsid w:val="00670563"/>
    <w:rsid w:val="00670C3D"/>
    <w:rsid w:val="006711DD"/>
    <w:rsid w:val="00672A56"/>
    <w:rsid w:val="00672CEE"/>
    <w:rsid w:val="0067441E"/>
    <w:rsid w:val="006745E4"/>
    <w:rsid w:val="00675272"/>
    <w:rsid w:val="006755D7"/>
    <w:rsid w:val="00680134"/>
    <w:rsid w:val="0068078C"/>
    <w:rsid w:val="00681025"/>
    <w:rsid w:val="006817A6"/>
    <w:rsid w:val="00682280"/>
    <w:rsid w:val="006829E4"/>
    <w:rsid w:val="006849E5"/>
    <w:rsid w:val="006849EA"/>
    <w:rsid w:val="00684E8C"/>
    <w:rsid w:val="00685321"/>
    <w:rsid w:val="006854C4"/>
    <w:rsid w:val="00685561"/>
    <w:rsid w:val="006857E1"/>
    <w:rsid w:val="00685D83"/>
    <w:rsid w:val="00686181"/>
    <w:rsid w:val="0069392E"/>
    <w:rsid w:val="006945A7"/>
    <w:rsid w:val="00694CA2"/>
    <w:rsid w:val="00695C4F"/>
    <w:rsid w:val="00695D42"/>
    <w:rsid w:val="00696B0B"/>
    <w:rsid w:val="00696BCF"/>
    <w:rsid w:val="006970B9"/>
    <w:rsid w:val="006A0C3C"/>
    <w:rsid w:val="006A1DD5"/>
    <w:rsid w:val="006A2F68"/>
    <w:rsid w:val="006A360A"/>
    <w:rsid w:val="006A4DB9"/>
    <w:rsid w:val="006A71CD"/>
    <w:rsid w:val="006A7D27"/>
    <w:rsid w:val="006A7F0A"/>
    <w:rsid w:val="006B1CD7"/>
    <w:rsid w:val="006B21DF"/>
    <w:rsid w:val="006B3C5B"/>
    <w:rsid w:val="006B47C4"/>
    <w:rsid w:val="006B4AB0"/>
    <w:rsid w:val="006B4D71"/>
    <w:rsid w:val="006B5AC0"/>
    <w:rsid w:val="006B61D6"/>
    <w:rsid w:val="006B6AA8"/>
    <w:rsid w:val="006B6FC0"/>
    <w:rsid w:val="006C16D1"/>
    <w:rsid w:val="006C36B2"/>
    <w:rsid w:val="006C377F"/>
    <w:rsid w:val="006C3B92"/>
    <w:rsid w:val="006C4A76"/>
    <w:rsid w:val="006C577B"/>
    <w:rsid w:val="006C5E43"/>
    <w:rsid w:val="006C5EAD"/>
    <w:rsid w:val="006C7846"/>
    <w:rsid w:val="006C78EB"/>
    <w:rsid w:val="006D0675"/>
    <w:rsid w:val="006D1B07"/>
    <w:rsid w:val="006D3837"/>
    <w:rsid w:val="006D39E7"/>
    <w:rsid w:val="006D3F8C"/>
    <w:rsid w:val="006D53F1"/>
    <w:rsid w:val="006D6111"/>
    <w:rsid w:val="006D74B7"/>
    <w:rsid w:val="006D786A"/>
    <w:rsid w:val="006D7B28"/>
    <w:rsid w:val="006E11B3"/>
    <w:rsid w:val="006E1524"/>
    <w:rsid w:val="006E1B82"/>
    <w:rsid w:val="006E2778"/>
    <w:rsid w:val="006E30CD"/>
    <w:rsid w:val="006E373C"/>
    <w:rsid w:val="006E38C7"/>
    <w:rsid w:val="006E3CB8"/>
    <w:rsid w:val="006E515A"/>
    <w:rsid w:val="006E6F1C"/>
    <w:rsid w:val="006E745D"/>
    <w:rsid w:val="006F2A89"/>
    <w:rsid w:val="006F3C90"/>
    <w:rsid w:val="006F5125"/>
    <w:rsid w:val="006F5CCF"/>
    <w:rsid w:val="00703344"/>
    <w:rsid w:val="00703C02"/>
    <w:rsid w:val="0070426F"/>
    <w:rsid w:val="00705E62"/>
    <w:rsid w:val="007071CA"/>
    <w:rsid w:val="00707422"/>
    <w:rsid w:val="00707F6C"/>
    <w:rsid w:val="00710A5C"/>
    <w:rsid w:val="00710AD8"/>
    <w:rsid w:val="00712DDD"/>
    <w:rsid w:val="0071457D"/>
    <w:rsid w:val="007154DB"/>
    <w:rsid w:val="00715B89"/>
    <w:rsid w:val="00715F8C"/>
    <w:rsid w:val="00716948"/>
    <w:rsid w:val="00716BEA"/>
    <w:rsid w:val="007205E6"/>
    <w:rsid w:val="0072300E"/>
    <w:rsid w:val="007305DC"/>
    <w:rsid w:val="007309F3"/>
    <w:rsid w:val="00731D5A"/>
    <w:rsid w:val="00732A7D"/>
    <w:rsid w:val="00733E6B"/>
    <w:rsid w:val="00733FE2"/>
    <w:rsid w:val="00734BF6"/>
    <w:rsid w:val="00736E3F"/>
    <w:rsid w:val="00737F31"/>
    <w:rsid w:val="00744C17"/>
    <w:rsid w:val="007453D2"/>
    <w:rsid w:val="0074781E"/>
    <w:rsid w:val="007479E2"/>
    <w:rsid w:val="007505AD"/>
    <w:rsid w:val="00751F50"/>
    <w:rsid w:val="00752909"/>
    <w:rsid w:val="00753628"/>
    <w:rsid w:val="0075634D"/>
    <w:rsid w:val="007572DA"/>
    <w:rsid w:val="00757D50"/>
    <w:rsid w:val="00761406"/>
    <w:rsid w:val="00761A3D"/>
    <w:rsid w:val="007627D4"/>
    <w:rsid w:val="007630F0"/>
    <w:rsid w:val="007662CE"/>
    <w:rsid w:val="007704F0"/>
    <w:rsid w:val="00770761"/>
    <w:rsid w:val="00771655"/>
    <w:rsid w:val="00772CE9"/>
    <w:rsid w:val="007740D9"/>
    <w:rsid w:val="00774F0C"/>
    <w:rsid w:val="0077572D"/>
    <w:rsid w:val="00775DDC"/>
    <w:rsid w:val="0077680E"/>
    <w:rsid w:val="00776DE1"/>
    <w:rsid w:val="0077795A"/>
    <w:rsid w:val="00780043"/>
    <w:rsid w:val="007855ED"/>
    <w:rsid w:val="00791367"/>
    <w:rsid w:val="00791CF3"/>
    <w:rsid w:val="0079251E"/>
    <w:rsid w:val="0079482F"/>
    <w:rsid w:val="00794A8B"/>
    <w:rsid w:val="00795A7C"/>
    <w:rsid w:val="00795CF0"/>
    <w:rsid w:val="007976E5"/>
    <w:rsid w:val="00797B8D"/>
    <w:rsid w:val="007A0718"/>
    <w:rsid w:val="007A108F"/>
    <w:rsid w:val="007A1D81"/>
    <w:rsid w:val="007A2352"/>
    <w:rsid w:val="007A49AA"/>
    <w:rsid w:val="007A71F6"/>
    <w:rsid w:val="007B238F"/>
    <w:rsid w:val="007B27DF"/>
    <w:rsid w:val="007B5DBC"/>
    <w:rsid w:val="007B5E2C"/>
    <w:rsid w:val="007C13FB"/>
    <w:rsid w:val="007C1518"/>
    <w:rsid w:val="007C26F7"/>
    <w:rsid w:val="007C2A6D"/>
    <w:rsid w:val="007C2D8B"/>
    <w:rsid w:val="007C34AE"/>
    <w:rsid w:val="007C47EC"/>
    <w:rsid w:val="007C5670"/>
    <w:rsid w:val="007C5C16"/>
    <w:rsid w:val="007C64FA"/>
    <w:rsid w:val="007C7409"/>
    <w:rsid w:val="007D023D"/>
    <w:rsid w:val="007D040F"/>
    <w:rsid w:val="007D15A4"/>
    <w:rsid w:val="007D1E87"/>
    <w:rsid w:val="007D3B77"/>
    <w:rsid w:val="007D4163"/>
    <w:rsid w:val="007D44AA"/>
    <w:rsid w:val="007D4DA4"/>
    <w:rsid w:val="007D7C6F"/>
    <w:rsid w:val="007D7F86"/>
    <w:rsid w:val="007E076D"/>
    <w:rsid w:val="007E0B0E"/>
    <w:rsid w:val="007E33FB"/>
    <w:rsid w:val="007E3F19"/>
    <w:rsid w:val="007E791E"/>
    <w:rsid w:val="007F08E6"/>
    <w:rsid w:val="007F1555"/>
    <w:rsid w:val="007F2231"/>
    <w:rsid w:val="007F3D01"/>
    <w:rsid w:val="007F45BA"/>
    <w:rsid w:val="007F6648"/>
    <w:rsid w:val="007F7866"/>
    <w:rsid w:val="00800B06"/>
    <w:rsid w:val="00801245"/>
    <w:rsid w:val="00803797"/>
    <w:rsid w:val="00805AE7"/>
    <w:rsid w:val="008077D5"/>
    <w:rsid w:val="008102F3"/>
    <w:rsid w:val="008132DD"/>
    <w:rsid w:val="00813BBC"/>
    <w:rsid w:val="008201AB"/>
    <w:rsid w:val="00820211"/>
    <w:rsid w:val="008204C5"/>
    <w:rsid w:val="0082051C"/>
    <w:rsid w:val="0082161D"/>
    <w:rsid w:val="00824969"/>
    <w:rsid w:val="00824F0D"/>
    <w:rsid w:val="00825586"/>
    <w:rsid w:val="00830596"/>
    <w:rsid w:val="00831A27"/>
    <w:rsid w:val="00831F8E"/>
    <w:rsid w:val="008339B2"/>
    <w:rsid w:val="00834A91"/>
    <w:rsid w:val="00834BAF"/>
    <w:rsid w:val="008364BA"/>
    <w:rsid w:val="008404CC"/>
    <w:rsid w:val="00840BC3"/>
    <w:rsid w:val="00844238"/>
    <w:rsid w:val="008469D0"/>
    <w:rsid w:val="0085075E"/>
    <w:rsid w:val="00850B48"/>
    <w:rsid w:val="00851C2D"/>
    <w:rsid w:val="00852755"/>
    <w:rsid w:val="00854A4C"/>
    <w:rsid w:val="008551AE"/>
    <w:rsid w:val="00862C2E"/>
    <w:rsid w:val="00862CA2"/>
    <w:rsid w:val="00864BD3"/>
    <w:rsid w:val="00865ACA"/>
    <w:rsid w:val="00865BAA"/>
    <w:rsid w:val="00865EF8"/>
    <w:rsid w:val="00867863"/>
    <w:rsid w:val="00870F37"/>
    <w:rsid w:val="00871315"/>
    <w:rsid w:val="00871FC2"/>
    <w:rsid w:val="0087217B"/>
    <w:rsid w:val="00873434"/>
    <w:rsid w:val="008745B1"/>
    <w:rsid w:val="00874BB2"/>
    <w:rsid w:val="008772C9"/>
    <w:rsid w:val="00880381"/>
    <w:rsid w:val="00881C29"/>
    <w:rsid w:val="00882103"/>
    <w:rsid w:val="0088221C"/>
    <w:rsid w:val="008835CF"/>
    <w:rsid w:val="00883E48"/>
    <w:rsid w:val="00884283"/>
    <w:rsid w:val="008856A7"/>
    <w:rsid w:val="00890794"/>
    <w:rsid w:val="00890BFF"/>
    <w:rsid w:val="00890C5F"/>
    <w:rsid w:val="0089103C"/>
    <w:rsid w:val="00891331"/>
    <w:rsid w:val="0089198F"/>
    <w:rsid w:val="00895EC0"/>
    <w:rsid w:val="00897507"/>
    <w:rsid w:val="008A1A1B"/>
    <w:rsid w:val="008A259B"/>
    <w:rsid w:val="008A279A"/>
    <w:rsid w:val="008A28F5"/>
    <w:rsid w:val="008A3B77"/>
    <w:rsid w:val="008A441D"/>
    <w:rsid w:val="008A45BB"/>
    <w:rsid w:val="008A5452"/>
    <w:rsid w:val="008A61CA"/>
    <w:rsid w:val="008A6EB2"/>
    <w:rsid w:val="008A7655"/>
    <w:rsid w:val="008B09E7"/>
    <w:rsid w:val="008B0DC1"/>
    <w:rsid w:val="008B16E4"/>
    <w:rsid w:val="008B1FD7"/>
    <w:rsid w:val="008B351B"/>
    <w:rsid w:val="008B4D1B"/>
    <w:rsid w:val="008B6150"/>
    <w:rsid w:val="008B6295"/>
    <w:rsid w:val="008B6692"/>
    <w:rsid w:val="008B7092"/>
    <w:rsid w:val="008C1943"/>
    <w:rsid w:val="008C1BA4"/>
    <w:rsid w:val="008C2A6C"/>
    <w:rsid w:val="008C2E60"/>
    <w:rsid w:val="008C5E34"/>
    <w:rsid w:val="008C6EBA"/>
    <w:rsid w:val="008C6F7E"/>
    <w:rsid w:val="008C76A5"/>
    <w:rsid w:val="008D1D28"/>
    <w:rsid w:val="008D3518"/>
    <w:rsid w:val="008D387C"/>
    <w:rsid w:val="008D3976"/>
    <w:rsid w:val="008D3C11"/>
    <w:rsid w:val="008D3CD5"/>
    <w:rsid w:val="008D3EDA"/>
    <w:rsid w:val="008D6383"/>
    <w:rsid w:val="008D7075"/>
    <w:rsid w:val="008D7573"/>
    <w:rsid w:val="008E08F3"/>
    <w:rsid w:val="008E20EC"/>
    <w:rsid w:val="008E2900"/>
    <w:rsid w:val="008E31D9"/>
    <w:rsid w:val="008E481C"/>
    <w:rsid w:val="008E6BEB"/>
    <w:rsid w:val="008E727D"/>
    <w:rsid w:val="008F09F0"/>
    <w:rsid w:val="008F1063"/>
    <w:rsid w:val="008F2289"/>
    <w:rsid w:val="008F3598"/>
    <w:rsid w:val="008F5404"/>
    <w:rsid w:val="008F7B69"/>
    <w:rsid w:val="00900C9B"/>
    <w:rsid w:val="00901F1A"/>
    <w:rsid w:val="009029DB"/>
    <w:rsid w:val="0090366D"/>
    <w:rsid w:val="009043C2"/>
    <w:rsid w:val="00905368"/>
    <w:rsid w:val="009066CB"/>
    <w:rsid w:val="00907AB3"/>
    <w:rsid w:val="00907B75"/>
    <w:rsid w:val="009107C1"/>
    <w:rsid w:val="00911780"/>
    <w:rsid w:val="0091201C"/>
    <w:rsid w:val="0091242A"/>
    <w:rsid w:val="00915041"/>
    <w:rsid w:val="0091533C"/>
    <w:rsid w:val="0091580C"/>
    <w:rsid w:val="009215FD"/>
    <w:rsid w:val="0092229C"/>
    <w:rsid w:val="00923FD3"/>
    <w:rsid w:val="00930B42"/>
    <w:rsid w:val="00933B9C"/>
    <w:rsid w:val="00936472"/>
    <w:rsid w:val="0093653B"/>
    <w:rsid w:val="009377A6"/>
    <w:rsid w:val="00941C51"/>
    <w:rsid w:val="009462DE"/>
    <w:rsid w:val="0094705E"/>
    <w:rsid w:val="00950E4F"/>
    <w:rsid w:val="00951C1B"/>
    <w:rsid w:val="00951E0A"/>
    <w:rsid w:val="00953B11"/>
    <w:rsid w:val="00954397"/>
    <w:rsid w:val="009565D3"/>
    <w:rsid w:val="00956CB2"/>
    <w:rsid w:val="00957230"/>
    <w:rsid w:val="00957450"/>
    <w:rsid w:val="00957800"/>
    <w:rsid w:val="00957DD6"/>
    <w:rsid w:val="0096149F"/>
    <w:rsid w:val="00962960"/>
    <w:rsid w:val="00962C69"/>
    <w:rsid w:val="009634B4"/>
    <w:rsid w:val="00966436"/>
    <w:rsid w:val="00966F48"/>
    <w:rsid w:val="00967632"/>
    <w:rsid w:val="0097009D"/>
    <w:rsid w:val="00971A4E"/>
    <w:rsid w:val="00972A44"/>
    <w:rsid w:val="00972FDF"/>
    <w:rsid w:val="00973033"/>
    <w:rsid w:val="009744A5"/>
    <w:rsid w:val="0097797C"/>
    <w:rsid w:val="00981124"/>
    <w:rsid w:val="00981BC4"/>
    <w:rsid w:val="00981F7E"/>
    <w:rsid w:val="009836B0"/>
    <w:rsid w:val="00984486"/>
    <w:rsid w:val="00984702"/>
    <w:rsid w:val="00987152"/>
    <w:rsid w:val="0098799C"/>
    <w:rsid w:val="00991297"/>
    <w:rsid w:val="00991633"/>
    <w:rsid w:val="009918C1"/>
    <w:rsid w:val="00991A37"/>
    <w:rsid w:val="00992B36"/>
    <w:rsid w:val="0099380C"/>
    <w:rsid w:val="00993BBD"/>
    <w:rsid w:val="009953A5"/>
    <w:rsid w:val="009962ED"/>
    <w:rsid w:val="00996EA3"/>
    <w:rsid w:val="009A0267"/>
    <w:rsid w:val="009A0312"/>
    <w:rsid w:val="009A072F"/>
    <w:rsid w:val="009A0EBB"/>
    <w:rsid w:val="009A128B"/>
    <w:rsid w:val="009A1553"/>
    <w:rsid w:val="009A1626"/>
    <w:rsid w:val="009A4B35"/>
    <w:rsid w:val="009A6887"/>
    <w:rsid w:val="009A6DA7"/>
    <w:rsid w:val="009B013C"/>
    <w:rsid w:val="009B0289"/>
    <w:rsid w:val="009B02A7"/>
    <w:rsid w:val="009B0611"/>
    <w:rsid w:val="009B0999"/>
    <w:rsid w:val="009B21E2"/>
    <w:rsid w:val="009B2EE2"/>
    <w:rsid w:val="009B32B1"/>
    <w:rsid w:val="009B33C9"/>
    <w:rsid w:val="009B5E0E"/>
    <w:rsid w:val="009B6E44"/>
    <w:rsid w:val="009B7188"/>
    <w:rsid w:val="009B71C4"/>
    <w:rsid w:val="009C15B9"/>
    <w:rsid w:val="009C1EEA"/>
    <w:rsid w:val="009C2E5B"/>
    <w:rsid w:val="009C4E47"/>
    <w:rsid w:val="009C51E5"/>
    <w:rsid w:val="009C6250"/>
    <w:rsid w:val="009D0702"/>
    <w:rsid w:val="009D1774"/>
    <w:rsid w:val="009D2B97"/>
    <w:rsid w:val="009D2FAE"/>
    <w:rsid w:val="009D387F"/>
    <w:rsid w:val="009D4E9B"/>
    <w:rsid w:val="009D62D7"/>
    <w:rsid w:val="009D6684"/>
    <w:rsid w:val="009D6C32"/>
    <w:rsid w:val="009E1F62"/>
    <w:rsid w:val="009E2B5F"/>
    <w:rsid w:val="009E2CE6"/>
    <w:rsid w:val="009E3E41"/>
    <w:rsid w:val="009E6893"/>
    <w:rsid w:val="009F085E"/>
    <w:rsid w:val="009F5778"/>
    <w:rsid w:val="009F63E8"/>
    <w:rsid w:val="00A0183B"/>
    <w:rsid w:val="00A025C9"/>
    <w:rsid w:val="00A03D5E"/>
    <w:rsid w:val="00A03E90"/>
    <w:rsid w:val="00A04446"/>
    <w:rsid w:val="00A045AF"/>
    <w:rsid w:val="00A04B29"/>
    <w:rsid w:val="00A04FCB"/>
    <w:rsid w:val="00A06614"/>
    <w:rsid w:val="00A06FB6"/>
    <w:rsid w:val="00A07487"/>
    <w:rsid w:val="00A1038C"/>
    <w:rsid w:val="00A110AF"/>
    <w:rsid w:val="00A11309"/>
    <w:rsid w:val="00A11B60"/>
    <w:rsid w:val="00A121D3"/>
    <w:rsid w:val="00A12A97"/>
    <w:rsid w:val="00A12CC9"/>
    <w:rsid w:val="00A16F9F"/>
    <w:rsid w:val="00A1709D"/>
    <w:rsid w:val="00A17864"/>
    <w:rsid w:val="00A20700"/>
    <w:rsid w:val="00A2090C"/>
    <w:rsid w:val="00A22299"/>
    <w:rsid w:val="00A226D3"/>
    <w:rsid w:val="00A23DBB"/>
    <w:rsid w:val="00A30435"/>
    <w:rsid w:val="00A3082F"/>
    <w:rsid w:val="00A310C3"/>
    <w:rsid w:val="00A328C4"/>
    <w:rsid w:val="00A33442"/>
    <w:rsid w:val="00A352B5"/>
    <w:rsid w:val="00A352CA"/>
    <w:rsid w:val="00A373A6"/>
    <w:rsid w:val="00A37602"/>
    <w:rsid w:val="00A378F6"/>
    <w:rsid w:val="00A402D8"/>
    <w:rsid w:val="00A406CC"/>
    <w:rsid w:val="00A42A17"/>
    <w:rsid w:val="00A442B6"/>
    <w:rsid w:val="00A45103"/>
    <w:rsid w:val="00A46373"/>
    <w:rsid w:val="00A466DB"/>
    <w:rsid w:val="00A47198"/>
    <w:rsid w:val="00A50400"/>
    <w:rsid w:val="00A511D0"/>
    <w:rsid w:val="00A52357"/>
    <w:rsid w:val="00A52FB4"/>
    <w:rsid w:val="00A53523"/>
    <w:rsid w:val="00A53579"/>
    <w:rsid w:val="00A53D86"/>
    <w:rsid w:val="00A53F37"/>
    <w:rsid w:val="00A54806"/>
    <w:rsid w:val="00A55603"/>
    <w:rsid w:val="00A55A4C"/>
    <w:rsid w:val="00A5610F"/>
    <w:rsid w:val="00A605D9"/>
    <w:rsid w:val="00A63E87"/>
    <w:rsid w:val="00A675B6"/>
    <w:rsid w:val="00A67FE9"/>
    <w:rsid w:val="00A70121"/>
    <w:rsid w:val="00A70E42"/>
    <w:rsid w:val="00A712F1"/>
    <w:rsid w:val="00A71E0A"/>
    <w:rsid w:val="00A730CF"/>
    <w:rsid w:val="00A746CB"/>
    <w:rsid w:val="00A75DD3"/>
    <w:rsid w:val="00A75E6A"/>
    <w:rsid w:val="00A805F5"/>
    <w:rsid w:val="00A813A9"/>
    <w:rsid w:val="00A8322D"/>
    <w:rsid w:val="00A8384F"/>
    <w:rsid w:val="00A843F0"/>
    <w:rsid w:val="00A84667"/>
    <w:rsid w:val="00A84AEA"/>
    <w:rsid w:val="00A8553A"/>
    <w:rsid w:val="00A8629D"/>
    <w:rsid w:val="00A8686E"/>
    <w:rsid w:val="00A87C05"/>
    <w:rsid w:val="00A87F85"/>
    <w:rsid w:val="00A903C0"/>
    <w:rsid w:val="00A9127F"/>
    <w:rsid w:val="00A925A7"/>
    <w:rsid w:val="00A92640"/>
    <w:rsid w:val="00A93725"/>
    <w:rsid w:val="00A93FA4"/>
    <w:rsid w:val="00A9448F"/>
    <w:rsid w:val="00A95C78"/>
    <w:rsid w:val="00A95FBA"/>
    <w:rsid w:val="00A9602C"/>
    <w:rsid w:val="00A9623B"/>
    <w:rsid w:val="00A974B9"/>
    <w:rsid w:val="00AA1A1E"/>
    <w:rsid w:val="00AA2871"/>
    <w:rsid w:val="00AA2F40"/>
    <w:rsid w:val="00AA3493"/>
    <w:rsid w:val="00AA6CEA"/>
    <w:rsid w:val="00AA7549"/>
    <w:rsid w:val="00AA7D92"/>
    <w:rsid w:val="00AB238A"/>
    <w:rsid w:val="00AB2854"/>
    <w:rsid w:val="00AB68E2"/>
    <w:rsid w:val="00AB707D"/>
    <w:rsid w:val="00AC1A0F"/>
    <w:rsid w:val="00AC1A5D"/>
    <w:rsid w:val="00AC20B6"/>
    <w:rsid w:val="00AC20FD"/>
    <w:rsid w:val="00AC2C15"/>
    <w:rsid w:val="00AC2FF7"/>
    <w:rsid w:val="00AC461F"/>
    <w:rsid w:val="00AC5D45"/>
    <w:rsid w:val="00AC5FA4"/>
    <w:rsid w:val="00AC61EE"/>
    <w:rsid w:val="00AC641C"/>
    <w:rsid w:val="00AC6703"/>
    <w:rsid w:val="00AC6F12"/>
    <w:rsid w:val="00AC7C24"/>
    <w:rsid w:val="00AC7FCC"/>
    <w:rsid w:val="00AD020C"/>
    <w:rsid w:val="00AD0AA5"/>
    <w:rsid w:val="00AD0C94"/>
    <w:rsid w:val="00AD0E5D"/>
    <w:rsid w:val="00AD17F4"/>
    <w:rsid w:val="00AD25B2"/>
    <w:rsid w:val="00AD489C"/>
    <w:rsid w:val="00AE01D7"/>
    <w:rsid w:val="00AE04E6"/>
    <w:rsid w:val="00AE0A90"/>
    <w:rsid w:val="00AE23E6"/>
    <w:rsid w:val="00AE59A3"/>
    <w:rsid w:val="00AE6BA8"/>
    <w:rsid w:val="00AE707D"/>
    <w:rsid w:val="00AE74E3"/>
    <w:rsid w:val="00AE7944"/>
    <w:rsid w:val="00AF2142"/>
    <w:rsid w:val="00AF285F"/>
    <w:rsid w:val="00AF2CCA"/>
    <w:rsid w:val="00AF48C9"/>
    <w:rsid w:val="00AF7034"/>
    <w:rsid w:val="00AF7EFD"/>
    <w:rsid w:val="00B00157"/>
    <w:rsid w:val="00B00DE5"/>
    <w:rsid w:val="00B0196F"/>
    <w:rsid w:val="00B026B3"/>
    <w:rsid w:val="00B03800"/>
    <w:rsid w:val="00B03A57"/>
    <w:rsid w:val="00B0461D"/>
    <w:rsid w:val="00B0488B"/>
    <w:rsid w:val="00B07454"/>
    <w:rsid w:val="00B07582"/>
    <w:rsid w:val="00B078A7"/>
    <w:rsid w:val="00B07A6B"/>
    <w:rsid w:val="00B10062"/>
    <w:rsid w:val="00B10A57"/>
    <w:rsid w:val="00B11547"/>
    <w:rsid w:val="00B12F81"/>
    <w:rsid w:val="00B134C3"/>
    <w:rsid w:val="00B13557"/>
    <w:rsid w:val="00B14826"/>
    <w:rsid w:val="00B168D1"/>
    <w:rsid w:val="00B17370"/>
    <w:rsid w:val="00B2011C"/>
    <w:rsid w:val="00B2036A"/>
    <w:rsid w:val="00B20DBF"/>
    <w:rsid w:val="00B219C5"/>
    <w:rsid w:val="00B220EB"/>
    <w:rsid w:val="00B22347"/>
    <w:rsid w:val="00B2314B"/>
    <w:rsid w:val="00B23A5B"/>
    <w:rsid w:val="00B247B7"/>
    <w:rsid w:val="00B2599D"/>
    <w:rsid w:val="00B26508"/>
    <w:rsid w:val="00B269E5"/>
    <w:rsid w:val="00B27FA2"/>
    <w:rsid w:val="00B30984"/>
    <w:rsid w:val="00B30F54"/>
    <w:rsid w:val="00B32B9B"/>
    <w:rsid w:val="00B33F97"/>
    <w:rsid w:val="00B3400E"/>
    <w:rsid w:val="00B35738"/>
    <w:rsid w:val="00B36215"/>
    <w:rsid w:val="00B400C4"/>
    <w:rsid w:val="00B42584"/>
    <w:rsid w:val="00B42A23"/>
    <w:rsid w:val="00B42D3B"/>
    <w:rsid w:val="00B431C6"/>
    <w:rsid w:val="00B43A62"/>
    <w:rsid w:val="00B43B75"/>
    <w:rsid w:val="00B44BF2"/>
    <w:rsid w:val="00B44CB5"/>
    <w:rsid w:val="00B45193"/>
    <w:rsid w:val="00B45333"/>
    <w:rsid w:val="00B45A64"/>
    <w:rsid w:val="00B469D7"/>
    <w:rsid w:val="00B4774E"/>
    <w:rsid w:val="00B5350C"/>
    <w:rsid w:val="00B541AB"/>
    <w:rsid w:val="00B55323"/>
    <w:rsid w:val="00B55B2B"/>
    <w:rsid w:val="00B55DB7"/>
    <w:rsid w:val="00B57D42"/>
    <w:rsid w:val="00B66BCE"/>
    <w:rsid w:val="00B702B7"/>
    <w:rsid w:val="00B7101B"/>
    <w:rsid w:val="00B73789"/>
    <w:rsid w:val="00B737D0"/>
    <w:rsid w:val="00B74428"/>
    <w:rsid w:val="00B768E5"/>
    <w:rsid w:val="00B76D2D"/>
    <w:rsid w:val="00B81D07"/>
    <w:rsid w:val="00B825A3"/>
    <w:rsid w:val="00B8274A"/>
    <w:rsid w:val="00B82DD1"/>
    <w:rsid w:val="00B834B3"/>
    <w:rsid w:val="00B839B9"/>
    <w:rsid w:val="00B856F6"/>
    <w:rsid w:val="00B8740B"/>
    <w:rsid w:val="00B90163"/>
    <w:rsid w:val="00B90335"/>
    <w:rsid w:val="00B91518"/>
    <w:rsid w:val="00B91AE6"/>
    <w:rsid w:val="00B91D3C"/>
    <w:rsid w:val="00B91F76"/>
    <w:rsid w:val="00B936DC"/>
    <w:rsid w:val="00B93883"/>
    <w:rsid w:val="00B942DB"/>
    <w:rsid w:val="00B94E3A"/>
    <w:rsid w:val="00B95C68"/>
    <w:rsid w:val="00B96657"/>
    <w:rsid w:val="00B96A81"/>
    <w:rsid w:val="00BA15C4"/>
    <w:rsid w:val="00BA215C"/>
    <w:rsid w:val="00BA2907"/>
    <w:rsid w:val="00BA2C8B"/>
    <w:rsid w:val="00BA320B"/>
    <w:rsid w:val="00BA3697"/>
    <w:rsid w:val="00BA3B9D"/>
    <w:rsid w:val="00BA3C31"/>
    <w:rsid w:val="00BA4C9A"/>
    <w:rsid w:val="00BA6361"/>
    <w:rsid w:val="00BA741E"/>
    <w:rsid w:val="00BA7BAA"/>
    <w:rsid w:val="00BB18C3"/>
    <w:rsid w:val="00BB1D68"/>
    <w:rsid w:val="00BB575B"/>
    <w:rsid w:val="00BC0359"/>
    <w:rsid w:val="00BC116B"/>
    <w:rsid w:val="00BC3C43"/>
    <w:rsid w:val="00BC6145"/>
    <w:rsid w:val="00BC6503"/>
    <w:rsid w:val="00BC766C"/>
    <w:rsid w:val="00BD129A"/>
    <w:rsid w:val="00BD1870"/>
    <w:rsid w:val="00BD321C"/>
    <w:rsid w:val="00BD5CE8"/>
    <w:rsid w:val="00BD625B"/>
    <w:rsid w:val="00BD65DF"/>
    <w:rsid w:val="00BD6FE4"/>
    <w:rsid w:val="00BD7CBB"/>
    <w:rsid w:val="00BE0A41"/>
    <w:rsid w:val="00BE1DFD"/>
    <w:rsid w:val="00BE265B"/>
    <w:rsid w:val="00BE2F0C"/>
    <w:rsid w:val="00BE39DA"/>
    <w:rsid w:val="00BE479E"/>
    <w:rsid w:val="00BE48E2"/>
    <w:rsid w:val="00BE59D2"/>
    <w:rsid w:val="00BE63F6"/>
    <w:rsid w:val="00BE737E"/>
    <w:rsid w:val="00BF09B4"/>
    <w:rsid w:val="00BF1EBB"/>
    <w:rsid w:val="00BF32E2"/>
    <w:rsid w:val="00BF336F"/>
    <w:rsid w:val="00BF46B4"/>
    <w:rsid w:val="00BF57F3"/>
    <w:rsid w:val="00BF726F"/>
    <w:rsid w:val="00C00805"/>
    <w:rsid w:val="00C01D47"/>
    <w:rsid w:val="00C02FDB"/>
    <w:rsid w:val="00C05A93"/>
    <w:rsid w:val="00C05AD0"/>
    <w:rsid w:val="00C05D84"/>
    <w:rsid w:val="00C05F9E"/>
    <w:rsid w:val="00C06DF4"/>
    <w:rsid w:val="00C07A34"/>
    <w:rsid w:val="00C104C9"/>
    <w:rsid w:val="00C12B47"/>
    <w:rsid w:val="00C12B9D"/>
    <w:rsid w:val="00C13AA9"/>
    <w:rsid w:val="00C143FF"/>
    <w:rsid w:val="00C14E7F"/>
    <w:rsid w:val="00C164F4"/>
    <w:rsid w:val="00C16668"/>
    <w:rsid w:val="00C17CAF"/>
    <w:rsid w:val="00C205AF"/>
    <w:rsid w:val="00C21DC5"/>
    <w:rsid w:val="00C2244E"/>
    <w:rsid w:val="00C23AD7"/>
    <w:rsid w:val="00C25EC8"/>
    <w:rsid w:val="00C3013B"/>
    <w:rsid w:val="00C30E5B"/>
    <w:rsid w:val="00C346F6"/>
    <w:rsid w:val="00C355DD"/>
    <w:rsid w:val="00C35690"/>
    <w:rsid w:val="00C35A19"/>
    <w:rsid w:val="00C42E8C"/>
    <w:rsid w:val="00C44D12"/>
    <w:rsid w:val="00C45C31"/>
    <w:rsid w:val="00C46322"/>
    <w:rsid w:val="00C46B9C"/>
    <w:rsid w:val="00C47718"/>
    <w:rsid w:val="00C506A7"/>
    <w:rsid w:val="00C50EBB"/>
    <w:rsid w:val="00C5295C"/>
    <w:rsid w:val="00C529C8"/>
    <w:rsid w:val="00C5345F"/>
    <w:rsid w:val="00C5552F"/>
    <w:rsid w:val="00C5737D"/>
    <w:rsid w:val="00C60192"/>
    <w:rsid w:val="00C60AF9"/>
    <w:rsid w:val="00C60BDB"/>
    <w:rsid w:val="00C61086"/>
    <w:rsid w:val="00C61143"/>
    <w:rsid w:val="00C67D09"/>
    <w:rsid w:val="00C71BB5"/>
    <w:rsid w:val="00C72227"/>
    <w:rsid w:val="00C726B7"/>
    <w:rsid w:val="00C73223"/>
    <w:rsid w:val="00C73E48"/>
    <w:rsid w:val="00C75008"/>
    <w:rsid w:val="00C76EB8"/>
    <w:rsid w:val="00C774F3"/>
    <w:rsid w:val="00C80037"/>
    <w:rsid w:val="00C8037A"/>
    <w:rsid w:val="00C80CD6"/>
    <w:rsid w:val="00C81C97"/>
    <w:rsid w:val="00C822F9"/>
    <w:rsid w:val="00C82E54"/>
    <w:rsid w:val="00C8438A"/>
    <w:rsid w:val="00C8450E"/>
    <w:rsid w:val="00C84CBF"/>
    <w:rsid w:val="00C850F9"/>
    <w:rsid w:val="00C86189"/>
    <w:rsid w:val="00C93409"/>
    <w:rsid w:val="00C93D78"/>
    <w:rsid w:val="00C93EC6"/>
    <w:rsid w:val="00C947BB"/>
    <w:rsid w:val="00C97454"/>
    <w:rsid w:val="00C979AD"/>
    <w:rsid w:val="00CA1E70"/>
    <w:rsid w:val="00CA1F41"/>
    <w:rsid w:val="00CA5016"/>
    <w:rsid w:val="00CA5A12"/>
    <w:rsid w:val="00CA5A1F"/>
    <w:rsid w:val="00CA7D96"/>
    <w:rsid w:val="00CB18E3"/>
    <w:rsid w:val="00CB2341"/>
    <w:rsid w:val="00CB4A8D"/>
    <w:rsid w:val="00CB59EC"/>
    <w:rsid w:val="00CB6034"/>
    <w:rsid w:val="00CC05FD"/>
    <w:rsid w:val="00CC1C0F"/>
    <w:rsid w:val="00CC38D6"/>
    <w:rsid w:val="00CC3EEA"/>
    <w:rsid w:val="00CC449D"/>
    <w:rsid w:val="00CC45C3"/>
    <w:rsid w:val="00CC51AF"/>
    <w:rsid w:val="00CC6E9D"/>
    <w:rsid w:val="00CC740E"/>
    <w:rsid w:val="00CC7E35"/>
    <w:rsid w:val="00CD004E"/>
    <w:rsid w:val="00CD04F9"/>
    <w:rsid w:val="00CD22DC"/>
    <w:rsid w:val="00CD301B"/>
    <w:rsid w:val="00CD3B12"/>
    <w:rsid w:val="00CD4942"/>
    <w:rsid w:val="00CD4BBB"/>
    <w:rsid w:val="00CD5215"/>
    <w:rsid w:val="00CD72A1"/>
    <w:rsid w:val="00CE09B0"/>
    <w:rsid w:val="00CE286E"/>
    <w:rsid w:val="00CE419E"/>
    <w:rsid w:val="00CE4285"/>
    <w:rsid w:val="00CE42F9"/>
    <w:rsid w:val="00CE4DC1"/>
    <w:rsid w:val="00CE702D"/>
    <w:rsid w:val="00CE7568"/>
    <w:rsid w:val="00CF08C5"/>
    <w:rsid w:val="00CF0E5C"/>
    <w:rsid w:val="00CF19E2"/>
    <w:rsid w:val="00CF312A"/>
    <w:rsid w:val="00CF46EF"/>
    <w:rsid w:val="00CF59B5"/>
    <w:rsid w:val="00CF5AF3"/>
    <w:rsid w:val="00CF7C0C"/>
    <w:rsid w:val="00CF7D8C"/>
    <w:rsid w:val="00CF7FE2"/>
    <w:rsid w:val="00D00D83"/>
    <w:rsid w:val="00D013E2"/>
    <w:rsid w:val="00D01B42"/>
    <w:rsid w:val="00D01D53"/>
    <w:rsid w:val="00D02805"/>
    <w:rsid w:val="00D05075"/>
    <w:rsid w:val="00D108B3"/>
    <w:rsid w:val="00D10DC9"/>
    <w:rsid w:val="00D11764"/>
    <w:rsid w:val="00D127A7"/>
    <w:rsid w:val="00D137EB"/>
    <w:rsid w:val="00D14DDD"/>
    <w:rsid w:val="00D1508F"/>
    <w:rsid w:val="00D151C1"/>
    <w:rsid w:val="00D15FBA"/>
    <w:rsid w:val="00D1732B"/>
    <w:rsid w:val="00D200AF"/>
    <w:rsid w:val="00D20B7A"/>
    <w:rsid w:val="00D21486"/>
    <w:rsid w:val="00D22E77"/>
    <w:rsid w:val="00D23C60"/>
    <w:rsid w:val="00D23CEF"/>
    <w:rsid w:val="00D245CC"/>
    <w:rsid w:val="00D33E81"/>
    <w:rsid w:val="00D358C3"/>
    <w:rsid w:val="00D35957"/>
    <w:rsid w:val="00D365EA"/>
    <w:rsid w:val="00D3680F"/>
    <w:rsid w:val="00D369FA"/>
    <w:rsid w:val="00D36A9B"/>
    <w:rsid w:val="00D40005"/>
    <w:rsid w:val="00D40E27"/>
    <w:rsid w:val="00D41795"/>
    <w:rsid w:val="00D418CC"/>
    <w:rsid w:val="00D45DB9"/>
    <w:rsid w:val="00D50214"/>
    <w:rsid w:val="00D5022D"/>
    <w:rsid w:val="00D50473"/>
    <w:rsid w:val="00D50A0C"/>
    <w:rsid w:val="00D520C9"/>
    <w:rsid w:val="00D52860"/>
    <w:rsid w:val="00D52CB8"/>
    <w:rsid w:val="00D5334E"/>
    <w:rsid w:val="00D53809"/>
    <w:rsid w:val="00D5422D"/>
    <w:rsid w:val="00D54342"/>
    <w:rsid w:val="00D547FC"/>
    <w:rsid w:val="00D552B5"/>
    <w:rsid w:val="00D55F19"/>
    <w:rsid w:val="00D57C47"/>
    <w:rsid w:val="00D602EF"/>
    <w:rsid w:val="00D613B8"/>
    <w:rsid w:val="00D6697B"/>
    <w:rsid w:val="00D66EDC"/>
    <w:rsid w:val="00D716A3"/>
    <w:rsid w:val="00D71B18"/>
    <w:rsid w:val="00D72AB8"/>
    <w:rsid w:val="00D748A6"/>
    <w:rsid w:val="00D748EB"/>
    <w:rsid w:val="00D76827"/>
    <w:rsid w:val="00D76CBC"/>
    <w:rsid w:val="00D77C7F"/>
    <w:rsid w:val="00D802CA"/>
    <w:rsid w:val="00D80783"/>
    <w:rsid w:val="00D807BB"/>
    <w:rsid w:val="00D813E2"/>
    <w:rsid w:val="00D8229C"/>
    <w:rsid w:val="00D8231C"/>
    <w:rsid w:val="00D823EE"/>
    <w:rsid w:val="00D82401"/>
    <w:rsid w:val="00D8241E"/>
    <w:rsid w:val="00D84F6E"/>
    <w:rsid w:val="00D85FD8"/>
    <w:rsid w:val="00D86E78"/>
    <w:rsid w:val="00D91F81"/>
    <w:rsid w:val="00D922A0"/>
    <w:rsid w:val="00D92656"/>
    <w:rsid w:val="00D93B06"/>
    <w:rsid w:val="00D942CB"/>
    <w:rsid w:val="00D945FF"/>
    <w:rsid w:val="00D9480E"/>
    <w:rsid w:val="00D969BD"/>
    <w:rsid w:val="00D97071"/>
    <w:rsid w:val="00DA0B89"/>
    <w:rsid w:val="00DA1751"/>
    <w:rsid w:val="00DA1C1D"/>
    <w:rsid w:val="00DA1FAC"/>
    <w:rsid w:val="00DA4997"/>
    <w:rsid w:val="00DA4AAD"/>
    <w:rsid w:val="00DA6D77"/>
    <w:rsid w:val="00DA7F3B"/>
    <w:rsid w:val="00DB02BD"/>
    <w:rsid w:val="00DB0608"/>
    <w:rsid w:val="00DB2384"/>
    <w:rsid w:val="00DB23DE"/>
    <w:rsid w:val="00DB24A5"/>
    <w:rsid w:val="00DB3D08"/>
    <w:rsid w:val="00DB6C58"/>
    <w:rsid w:val="00DB6D78"/>
    <w:rsid w:val="00DB70D0"/>
    <w:rsid w:val="00DB77D3"/>
    <w:rsid w:val="00DB79B5"/>
    <w:rsid w:val="00DB7B60"/>
    <w:rsid w:val="00DC038F"/>
    <w:rsid w:val="00DC0F57"/>
    <w:rsid w:val="00DC2764"/>
    <w:rsid w:val="00DC3368"/>
    <w:rsid w:val="00DC4331"/>
    <w:rsid w:val="00DC4916"/>
    <w:rsid w:val="00DC6E1B"/>
    <w:rsid w:val="00DC6FA9"/>
    <w:rsid w:val="00DD20B4"/>
    <w:rsid w:val="00DD5456"/>
    <w:rsid w:val="00DD5B3D"/>
    <w:rsid w:val="00DD6229"/>
    <w:rsid w:val="00DE140C"/>
    <w:rsid w:val="00DE2EE7"/>
    <w:rsid w:val="00DE4BAC"/>
    <w:rsid w:val="00DE4C63"/>
    <w:rsid w:val="00DE5747"/>
    <w:rsid w:val="00DE6A63"/>
    <w:rsid w:val="00DE78DD"/>
    <w:rsid w:val="00DE7C04"/>
    <w:rsid w:val="00DF0EF4"/>
    <w:rsid w:val="00DF21DE"/>
    <w:rsid w:val="00DF442D"/>
    <w:rsid w:val="00DF4997"/>
    <w:rsid w:val="00DF4A47"/>
    <w:rsid w:val="00DF5F88"/>
    <w:rsid w:val="00DF6744"/>
    <w:rsid w:val="00E00E09"/>
    <w:rsid w:val="00E023D7"/>
    <w:rsid w:val="00E03B1E"/>
    <w:rsid w:val="00E03B9C"/>
    <w:rsid w:val="00E05085"/>
    <w:rsid w:val="00E052E9"/>
    <w:rsid w:val="00E066BE"/>
    <w:rsid w:val="00E079EA"/>
    <w:rsid w:val="00E110A7"/>
    <w:rsid w:val="00E11BE3"/>
    <w:rsid w:val="00E13324"/>
    <w:rsid w:val="00E14252"/>
    <w:rsid w:val="00E14840"/>
    <w:rsid w:val="00E14F03"/>
    <w:rsid w:val="00E175F1"/>
    <w:rsid w:val="00E1785F"/>
    <w:rsid w:val="00E17BC1"/>
    <w:rsid w:val="00E2299D"/>
    <w:rsid w:val="00E24036"/>
    <w:rsid w:val="00E24148"/>
    <w:rsid w:val="00E25F67"/>
    <w:rsid w:val="00E30662"/>
    <w:rsid w:val="00E3160C"/>
    <w:rsid w:val="00E31B33"/>
    <w:rsid w:val="00E33F27"/>
    <w:rsid w:val="00E3451F"/>
    <w:rsid w:val="00E35563"/>
    <w:rsid w:val="00E36D25"/>
    <w:rsid w:val="00E3704A"/>
    <w:rsid w:val="00E37747"/>
    <w:rsid w:val="00E411AE"/>
    <w:rsid w:val="00E415D1"/>
    <w:rsid w:val="00E42289"/>
    <w:rsid w:val="00E42A2F"/>
    <w:rsid w:val="00E43B3E"/>
    <w:rsid w:val="00E44798"/>
    <w:rsid w:val="00E46195"/>
    <w:rsid w:val="00E47178"/>
    <w:rsid w:val="00E477B0"/>
    <w:rsid w:val="00E47A31"/>
    <w:rsid w:val="00E50700"/>
    <w:rsid w:val="00E50B79"/>
    <w:rsid w:val="00E51DA5"/>
    <w:rsid w:val="00E52E3A"/>
    <w:rsid w:val="00E53644"/>
    <w:rsid w:val="00E5425B"/>
    <w:rsid w:val="00E55133"/>
    <w:rsid w:val="00E5526B"/>
    <w:rsid w:val="00E55C1B"/>
    <w:rsid w:val="00E56767"/>
    <w:rsid w:val="00E578DC"/>
    <w:rsid w:val="00E61721"/>
    <w:rsid w:val="00E62574"/>
    <w:rsid w:val="00E66B26"/>
    <w:rsid w:val="00E670E0"/>
    <w:rsid w:val="00E67524"/>
    <w:rsid w:val="00E70A44"/>
    <w:rsid w:val="00E71E22"/>
    <w:rsid w:val="00E727B1"/>
    <w:rsid w:val="00E72FA7"/>
    <w:rsid w:val="00E77106"/>
    <w:rsid w:val="00E77224"/>
    <w:rsid w:val="00E8095C"/>
    <w:rsid w:val="00E80A39"/>
    <w:rsid w:val="00E835B8"/>
    <w:rsid w:val="00E844CC"/>
    <w:rsid w:val="00E84644"/>
    <w:rsid w:val="00E84F05"/>
    <w:rsid w:val="00E85642"/>
    <w:rsid w:val="00E875A8"/>
    <w:rsid w:val="00E87E90"/>
    <w:rsid w:val="00E94FC2"/>
    <w:rsid w:val="00E9556E"/>
    <w:rsid w:val="00EA0688"/>
    <w:rsid w:val="00EA1417"/>
    <w:rsid w:val="00EA221E"/>
    <w:rsid w:val="00EA443C"/>
    <w:rsid w:val="00EA56FA"/>
    <w:rsid w:val="00EA645D"/>
    <w:rsid w:val="00EA71CA"/>
    <w:rsid w:val="00EA7585"/>
    <w:rsid w:val="00EA7C78"/>
    <w:rsid w:val="00EB0E5E"/>
    <w:rsid w:val="00EB13EC"/>
    <w:rsid w:val="00EB1450"/>
    <w:rsid w:val="00EB232E"/>
    <w:rsid w:val="00EB24A7"/>
    <w:rsid w:val="00EB25FC"/>
    <w:rsid w:val="00EB2B97"/>
    <w:rsid w:val="00EB31A3"/>
    <w:rsid w:val="00EB3591"/>
    <w:rsid w:val="00EB4A7A"/>
    <w:rsid w:val="00EB5B85"/>
    <w:rsid w:val="00EB5EBE"/>
    <w:rsid w:val="00EB6022"/>
    <w:rsid w:val="00EB64C5"/>
    <w:rsid w:val="00EB6BC4"/>
    <w:rsid w:val="00EB762E"/>
    <w:rsid w:val="00EB7B71"/>
    <w:rsid w:val="00EC0E84"/>
    <w:rsid w:val="00EC151B"/>
    <w:rsid w:val="00EC1CD1"/>
    <w:rsid w:val="00EC40D0"/>
    <w:rsid w:val="00EC4E89"/>
    <w:rsid w:val="00EC5A95"/>
    <w:rsid w:val="00EC6B92"/>
    <w:rsid w:val="00EC71B6"/>
    <w:rsid w:val="00ED02D3"/>
    <w:rsid w:val="00ED0BC2"/>
    <w:rsid w:val="00ED0D13"/>
    <w:rsid w:val="00ED1072"/>
    <w:rsid w:val="00ED1525"/>
    <w:rsid w:val="00ED4E32"/>
    <w:rsid w:val="00ED5D31"/>
    <w:rsid w:val="00ED6630"/>
    <w:rsid w:val="00ED6CD0"/>
    <w:rsid w:val="00EE05A4"/>
    <w:rsid w:val="00EE068E"/>
    <w:rsid w:val="00EE10E8"/>
    <w:rsid w:val="00EE223A"/>
    <w:rsid w:val="00EE2BA3"/>
    <w:rsid w:val="00EE3021"/>
    <w:rsid w:val="00EE3446"/>
    <w:rsid w:val="00EE38DD"/>
    <w:rsid w:val="00EE6A63"/>
    <w:rsid w:val="00EE7919"/>
    <w:rsid w:val="00EF045D"/>
    <w:rsid w:val="00EF4CC9"/>
    <w:rsid w:val="00EF62D2"/>
    <w:rsid w:val="00EF64B3"/>
    <w:rsid w:val="00F00BB0"/>
    <w:rsid w:val="00F01158"/>
    <w:rsid w:val="00F01E58"/>
    <w:rsid w:val="00F038D2"/>
    <w:rsid w:val="00F0624A"/>
    <w:rsid w:val="00F06996"/>
    <w:rsid w:val="00F1257E"/>
    <w:rsid w:val="00F13524"/>
    <w:rsid w:val="00F13834"/>
    <w:rsid w:val="00F151C3"/>
    <w:rsid w:val="00F15428"/>
    <w:rsid w:val="00F1681E"/>
    <w:rsid w:val="00F16EE4"/>
    <w:rsid w:val="00F17735"/>
    <w:rsid w:val="00F17952"/>
    <w:rsid w:val="00F200E7"/>
    <w:rsid w:val="00F219FF"/>
    <w:rsid w:val="00F25E4A"/>
    <w:rsid w:val="00F26100"/>
    <w:rsid w:val="00F27677"/>
    <w:rsid w:val="00F27882"/>
    <w:rsid w:val="00F3090A"/>
    <w:rsid w:val="00F31541"/>
    <w:rsid w:val="00F318C2"/>
    <w:rsid w:val="00F323CE"/>
    <w:rsid w:val="00F32888"/>
    <w:rsid w:val="00F32ED1"/>
    <w:rsid w:val="00F33F4D"/>
    <w:rsid w:val="00F35A2A"/>
    <w:rsid w:val="00F35E26"/>
    <w:rsid w:val="00F40078"/>
    <w:rsid w:val="00F41EC7"/>
    <w:rsid w:val="00F4456B"/>
    <w:rsid w:val="00F45E11"/>
    <w:rsid w:val="00F4619E"/>
    <w:rsid w:val="00F46F9B"/>
    <w:rsid w:val="00F47E4A"/>
    <w:rsid w:val="00F51F70"/>
    <w:rsid w:val="00F523B8"/>
    <w:rsid w:val="00F53AFE"/>
    <w:rsid w:val="00F53FE0"/>
    <w:rsid w:val="00F5407C"/>
    <w:rsid w:val="00F61C2C"/>
    <w:rsid w:val="00F61C57"/>
    <w:rsid w:val="00F63364"/>
    <w:rsid w:val="00F63EF8"/>
    <w:rsid w:val="00F640E6"/>
    <w:rsid w:val="00F6508E"/>
    <w:rsid w:val="00F655F1"/>
    <w:rsid w:val="00F6575B"/>
    <w:rsid w:val="00F6646E"/>
    <w:rsid w:val="00F6793E"/>
    <w:rsid w:val="00F70E59"/>
    <w:rsid w:val="00F7290A"/>
    <w:rsid w:val="00F739F7"/>
    <w:rsid w:val="00F74741"/>
    <w:rsid w:val="00F74744"/>
    <w:rsid w:val="00F74985"/>
    <w:rsid w:val="00F767E2"/>
    <w:rsid w:val="00F80C11"/>
    <w:rsid w:val="00F82AAA"/>
    <w:rsid w:val="00F853BB"/>
    <w:rsid w:val="00F85D28"/>
    <w:rsid w:val="00F86681"/>
    <w:rsid w:val="00F8701C"/>
    <w:rsid w:val="00F87739"/>
    <w:rsid w:val="00F90928"/>
    <w:rsid w:val="00F90A8F"/>
    <w:rsid w:val="00F92BCE"/>
    <w:rsid w:val="00F92D83"/>
    <w:rsid w:val="00F939E1"/>
    <w:rsid w:val="00F9539E"/>
    <w:rsid w:val="00F962DF"/>
    <w:rsid w:val="00F97DD8"/>
    <w:rsid w:val="00FA27DC"/>
    <w:rsid w:val="00FA397C"/>
    <w:rsid w:val="00FA3AF5"/>
    <w:rsid w:val="00FA6FBA"/>
    <w:rsid w:val="00FA70E9"/>
    <w:rsid w:val="00FA7BCA"/>
    <w:rsid w:val="00FA7D11"/>
    <w:rsid w:val="00FB093C"/>
    <w:rsid w:val="00FB1F3C"/>
    <w:rsid w:val="00FB2782"/>
    <w:rsid w:val="00FB2A8A"/>
    <w:rsid w:val="00FB2DC5"/>
    <w:rsid w:val="00FB450C"/>
    <w:rsid w:val="00FB50A8"/>
    <w:rsid w:val="00FB6E0A"/>
    <w:rsid w:val="00FB7942"/>
    <w:rsid w:val="00FB7D52"/>
    <w:rsid w:val="00FC21C7"/>
    <w:rsid w:val="00FC2291"/>
    <w:rsid w:val="00FC2E06"/>
    <w:rsid w:val="00FC4C37"/>
    <w:rsid w:val="00FC4E9A"/>
    <w:rsid w:val="00FC529A"/>
    <w:rsid w:val="00FC6A41"/>
    <w:rsid w:val="00FC76C5"/>
    <w:rsid w:val="00FD01FC"/>
    <w:rsid w:val="00FD05C9"/>
    <w:rsid w:val="00FD0947"/>
    <w:rsid w:val="00FD12C2"/>
    <w:rsid w:val="00FD16C4"/>
    <w:rsid w:val="00FD21FC"/>
    <w:rsid w:val="00FD2290"/>
    <w:rsid w:val="00FD35CF"/>
    <w:rsid w:val="00FD442D"/>
    <w:rsid w:val="00FD5F13"/>
    <w:rsid w:val="00FD6848"/>
    <w:rsid w:val="00FE4031"/>
    <w:rsid w:val="00FF0CC2"/>
    <w:rsid w:val="00FF143F"/>
    <w:rsid w:val="00FF3663"/>
    <w:rsid w:val="00FF389A"/>
    <w:rsid w:val="00FF3AFA"/>
    <w:rsid w:val="00FF3C9F"/>
    <w:rsid w:val="00FF45D5"/>
    <w:rsid w:val="00FF5220"/>
    <w:rsid w:val="00FF5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1C9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41C93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333333"/>
      <w:sz w:val="15"/>
      <w:szCs w:val="15"/>
      <w:lang w:eastAsia="ru-RU"/>
    </w:rPr>
  </w:style>
  <w:style w:type="character" w:styleId="a5">
    <w:name w:val="Strong"/>
    <w:basedOn w:val="a0"/>
    <w:uiPriority w:val="22"/>
    <w:qFormat/>
    <w:rsid w:val="00041C93"/>
    <w:rPr>
      <w:b/>
      <w:bCs/>
    </w:rPr>
  </w:style>
  <w:style w:type="character" w:styleId="a6">
    <w:name w:val="Emphasis"/>
    <w:basedOn w:val="a0"/>
    <w:uiPriority w:val="20"/>
    <w:qFormat/>
    <w:rsid w:val="00041C9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41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1C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8181">
              <w:marLeft w:val="0"/>
              <w:marRight w:val="0"/>
              <w:marTop w:val="20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9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98716">
                  <w:marLeft w:val="0"/>
                  <w:marRight w:val="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4493">
                  <w:marLeft w:val="0"/>
                  <w:marRight w:val="0"/>
                  <w:marTop w:val="1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4742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89228">
                  <w:marLeft w:val="0"/>
                  <w:marRight w:val="0"/>
                  <w:marTop w:val="0"/>
                  <w:marBottom w:val="0"/>
                  <w:divBdr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divBdr>
                </w:div>
                <w:div w:id="15933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4748">
                  <w:marLeft w:val="-2655"/>
                  <w:marRight w:val="0"/>
                  <w:marTop w:val="626"/>
                  <w:marBottom w:val="0"/>
                  <w:divBdr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divBdr>
                  <w:divsChild>
                    <w:div w:id="35241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897113">
                  <w:marLeft w:val="0"/>
                  <w:marRight w:val="125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5923">
                  <w:marLeft w:val="0"/>
                  <w:marRight w:val="125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590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951722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55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0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430">
              <w:marLeft w:val="0"/>
              <w:marRight w:val="0"/>
              <w:marTop w:val="10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6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5008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2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00984">
                      <w:marLeft w:val="0"/>
                      <w:marRight w:val="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2906">
                      <w:marLeft w:val="0"/>
                      <w:marRight w:val="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507948">
                      <w:marLeft w:val="0"/>
                      <w:marRight w:val="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hyperlink" Target="http://www.ukrcardio.org/journal.php/article/823" TargetMode="External"/><Relationship Id="rId10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2442</Words>
  <Characters>13924</Characters>
  <Application>Microsoft Office Word</Application>
  <DocSecurity>0</DocSecurity>
  <Lines>116</Lines>
  <Paragraphs>32</Paragraphs>
  <ScaleCrop>false</ScaleCrop>
  <Company>Microsoft</Company>
  <LinksUpToDate>false</LinksUpToDate>
  <CharactersWithSpaces>16334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2013-07-11T09:16:00Z</dcterms:created>
  <dcterms:modified xsi:type="dcterms:W3CDTF">2013-07-11T09:18:00Z</dcterms:modified>
</cp:coreProperties>
</file>