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20" w:rsidRPr="00FD5C63" w:rsidRDefault="00F32A20" w:rsidP="00F32A20">
      <w:pPr>
        <w:pStyle w:val="2"/>
        <w:ind w:firstLine="851"/>
        <w:jc w:val="center"/>
        <w:rPr>
          <w:b/>
          <w:sz w:val="24"/>
        </w:rPr>
      </w:pPr>
      <w:r>
        <w:rPr>
          <w:b/>
          <w:sz w:val="24"/>
        </w:rPr>
        <w:t xml:space="preserve">7. </w:t>
      </w:r>
      <w:r w:rsidRPr="00FD5C63">
        <w:rPr>
          <w:b/>
          <w:sz w:val="24"/>
        </w:rPr>
        <w:t>МЕТОДИКА РОЗРОБЛЕННЯ ОСВІТНЬО-ПРОФЕСІЙНОЇ ПРОГРАМИ ПІДГОТОВКИ ФАХІВЦЯ</w:t>
      </w:r>
    </w:p>
    <w:p w:rsidR="00F32A20" w:rsidRPr="00FD5C63" w:rsidRDefault="00F32A20" w:rsidP="00F32A20">
      <w:pPr>
        <w:pStyle w:val="2"/>
        <w:ind w:firstLine="851"/>
        <w:rPr>
          <w:b/>
          <w:i/>
          <w:sz w:val="24"/>
        </w:rPr>
      </w:pPr>
      <w:r w:rsidRPr="00FD5C63">
        <w:rPr>
          <w:sz w:val="24"/>
        </w:rPr>
        <w:t>Нижче наведено методики розроблення відповідних структурних елементів осві</w:t>
      </w:r>
      <w:r w:rsidRPr="00FD5C63">
        <w:rPr>
          <w:sz w:val="24"/>
        </w:rPr>
        <w:t>т</w:t>
      </w:r>
      <w:r w:rsidRPr="00FD5C63">
        <w:rPr>
          <w:sz w:val="24"/>
        </w:rPr>
        <w:t>ньо-професійної програми підготовки фахівця.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F32A20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Титульний лист 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На титульному листі ОПП указується: </w:t>
      </w:r>
    </w:p>
    <w:p w:rsidR="00F32A20" w:rsidRPr="00FD5C63" w:rsidRDefault="00F32A20" w:rsidP="00F32A20">
      <w:pPr>
        <w:pStyle w:val="Normal1"/>
        <w:tabs>
          <w:tab w:val="left" w:pos="0"/>
          <w:tab w:val="left" w:pos="1418"/>
          <w:tab w:val="left" w:pos="2694"/>
        </w:tabs>
        <w:overflowPunct w:val="0"/>
        <w:adjustRightInd w:val="0"/>
        <w:textAlignment w:val="baseline"/>
        <w:rPr>
          <w:rFonts w:ascii="Times New Roman" w:eastAsia="Calibri" w:hAnsi="Times New Roman"/>
          <w:color w:val="000000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ab/>
      </w:r>
      <w:r w:rsidRPr="00FD5C63">
        <w:rPr>
          <w:rFonts w:ascii="Times New Roman" w:eastAsia="Calibri" w:hAnsi="Times New Roman"/>
          <w:color w:val="000000"/>
          <w:szCs w:val="22"/>
          <w:lang w:eastAsia="en-US"/>
        </w:rPr>
        <w:t xml:space="preserve">назва освітньо-кваліфікаційного рівня; </w:t>
      </w:r>
    </w:p>
    <w:p w:rsidR="00F32A20" w:rsidRPr="00FD5C63" w:rsidRDefault="00F32A20" w:rsidP="00F32A20">
      <w:pPr>
        <w:tabs>
          <w:tab w:val="left" w:pos="0"/>
          <w:tab w:val="left" w:pos="1418"/>
          <w:tab w:val="left" w:pos="26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D5C63">
        <w:rPr>
          <w:rFonts w:ascii="Times New Roman" w:hAnsi="Times New Roman"/>
          <w:color w:val="000000"/>
          <w:sz w:val="24"/>
        </w:rPr>
        <w:t xml:space="preserve">шифр і назва галузі знань; </w:t>
      </w:r>
    </w:p>
    <w:p w:rsidR="00F32A20" w:rsidRPr="00FD5C63" w:rsidRDefault="00F32A20" w:rsidP="00F32A20">
      <w:pPr>
        <w:tabs>
          <w:tab w:val="left" w:pos="0"/>
          <w:tab w:val="left" w:pos="1418"/>
          <w:tab w:val="left" w:pos="26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D5C63">
        <w:rPr>
          <w:rFonts w:ascii="Times New Roman" w:hAnsi="Times New Roman"/>
          <w:color w:val="000000"/>
          <w:sz w:val="24"/>
        </w:rPr>
        <w:t xml:space="preserve">код і назва напряму підготовки; </w:t>
      </w:r>
    </w:p>
    <w:p w:rsidR="00F32A20" w:rsidRPr="00FD5C63" w:rsidRDefault="00F32A20" w:rsidP="00F32A20">
      <w:pPr>
        <w:tabs>
          <w:tab w:val="left" w:pos="0"/>
          <w:tab w:val="left" w:pos="1418"/>
          <w:tab w:val="left" w:pos="26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D5C63">
        <w:rPr>
          <w:rFonts w:ascii="Times New Roman" w:hAnsi="Times New Roman"/>
          <w:color w:val="000000"/>
          <w:sz w:val="24"/>
        </w:rPr>
        <w:t xml:space="preserve">код і назва спеціальності (для всіх освітньо-кваліфікаційних рівнів, окрім бакалавра), код і назва напряму підготовки; </w:t>
      </w:r>
    </w:p>
    <w:p w:rsidR="00F32A20" w:rsidRPr="00FD5C63" w:rsidRDefault="00F32A20" w:rsidP="00F32A20">
      <w:pPr>
        <w:tabs>
          <w:tab w:val="left" w:pos="0"/>
          <w:tab w:val="left" w:pos="1418"/>
          <w:tab w:val="left" w:pos="26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D5C63">
        <w:rPr>
          <w:rFonts w:ascii="Times New Roman" w:hAnsi="Times New Roman"/>
          <w:color w:val="000000"/>
          <w:sz w:val="24"/>
        </w:rPr>
        <w:t xml:space="preserve">код і назва кваліфікації. </w:t>
      </w:r>
    </w:p>
    <w:p w:rsidR="00F32A20" w:rsidRPr="00FD5C63" w:rsidRDefault="00F32A20" w:rsidP="00F32A20">
      <w:pPr>
        <w:tabs>
          <w:tab w:val="left" w:pos="0"/>
          <w:tab w:val="left" w:pos="1418"/>
          <w:tab w:val="left" w:pos="26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Передмова 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i/>
          <w:sz w:val="24"/>
        </w:rPr>
      </w:pPr>
      <w:r w:rsidRPr="00FD5C63">
        <w:rPr>
          <w:rFonts w:ascii="Times New Roman" w:hAnsi="Times New Roman"/>
          <w:sz w:val="24"/>
        </w:rPr>
        <w:t xml:space="preserve">У розділі вказується </w:t>
      </w:r>
      <w:r w:rsidRPr="00FD5C63">
        <w:rPr>
          <w:rFonts w:ascii="Times New Roman" w:hAnsi="Times New Roman"/>
          <w:bCs/>
          <w:sz w:val="24"/>
        </w:rPr>
        <w:t>повна</w:t>
      </w:r>
      <w:r w:rsidRPr="00FD5C63">
        <w:rPr>
          <w:rFonts w:ascii="Times New Roman" w:hAnsi="Times New Roman"/>
          <w:sz w:val="24"/>
        </w:rPr>
        <w:t xml:space="preserve"> назва базового вищого навчального закладу, яким вн</w:t>
      </w:r>
      <w:r w:rsidRPr="00FD5C63">
        <w:rPr>
          <w:rFonts w:ascii="Times New Roman" w:hAnsi="Times New Roman"/>
          <w:sz w:val="24"/>
        </w:rPr>
        <w:t>е</w:t>
      </w:r>
      <w:r w:rsidRPr="00FD5C63">
        <w:rPr>
          <w:rFonts w:ascii="Times New Roman" w:hAnsi="Times New Roman"/>
          <w:sz w:val="24"/>
        </w:rPr>
        <w:t>сено проект стандарту до затвердження, дата та номер наказу, яким стандарт затверджено та надано йому чинності (після затвердження).</w:t>
      </w:r>
    </w:p>
    <w:p w:rsidR="00F32A20" w:rsidRPr="00FD5C63" w:rsidRDefault="00F32A20" w:rsidP="00F32A20">
      <w:pPr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Указуються прізвища, ім’я по батькові, наукові ступені та вчені звання розро</w:t>
      </w:r>
      <w:r w:rsidRPr="00FD5C63">
        <w:rPr>
          <w:rFonts w:ascii="Times New Roman" w:hAnsi="Times New Roman"/>
          <w:sz w:val="24"/>
        </w:rPr>
        <w:t>б</w:t>
      </w:r>
      <w:r w:rsidRPr="00FD5C63">
        <w:rPr>
          <w:rFonts w:ascii="Times New Roman" w:hAnsi="Times New Roman"/>
          <w:sz w:val="24"/>
        </w:rPr>
        <w:t>ників стандарту, посади і назви установ, де вони працюють, без скорочення.</w:t>
      </w:r>
    </w:p>
    <w:p w:rsidR="00F32A20" w:rsidRPr="00FD5C63" w:rsidRDefault="00F32A20" w:rsidP="00F32A20">
      <w:pPr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У разі необхідності в</w:t>
      </w:r>
      <w:r>
        <w:rPr>
          <w:rFonts w:ascii="Times New Roman" w:hAnsi="Times New Roman"/>
          <w:sz w:val="24"/>
        </w:rPr>
        <w:t xml:space="preserve"> п</w:t>
      </w:r>
      <w:r w:rsidRPr="00FD5C63">
        <w:rPr>
          <w:rFonts w:ascii="Times New Roman" w:hAnsi="Times New Roman"/>
          <w:sz w:val="24"/>
        </w:rPr>
        <w:t>ередмові можуть бути наведені додаткові відомості.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Зміст</w:t>
      </w:r>
    </w:p>
    <w:p w:rsidR="00F32A20" w:rsidRPr="00FD5C63" w:rsidRDefault="00F32A20" w:rsidP="00F32A20">
      <w:pPr>
        <w:pStyle w:val="2"/>
        <w:tabs>
          <w:tab w:val="left" w:pos="2694"/>
        </w:tabs>
        <w:ind w:firstLine="851"/>
        <w:rPr>
          <w:spacing w:val="-4"/>
          <w:sz w:val="24"/>
        </w:rPr>
      </w:pPr>
      <w:r w:rsidRPr="00FD5C63">
        <w:rPr>
          <w:spacing w:val="-4"/>
          <w:sz w:val="24"/>
        </w:rPr>
        <w:t>У розділі потрібно зазначити порядкові номери і назви розділів (підрозділів), дода</w:t>
      </w:r>
      <w:r w:rsidRPr="00FD5C63">
        <w:rPr>
          <w:spacing w:val="-4"/>
          <w:sz w:val="24"/>
        </w:rPr>
        <w:t>т</w:t>
      </w:r>
      <w:r w:rsidRPr="00FD5C63">
        <w:rPr>
          <w:spacing w:val="-4"/>
          <w:sz w:val="24"/>
        </w:rPr>
        <w:t>ків (із поданням їх позначення й заголовків) із зазначенням номера сторінки, з якої вони р</w:t>
      </w:r>
      <w:r w:rsidRPr="00FD5C63">
        <w:rPr>
          <w:spacing w:val="-4"/>
          <w:sz w:val="24"/>
        </w:rPr>
        <w:t>о</w:t>
      </w:r>
      <w:r w:rsidRPr="00FD5C63">
        <w:rPr>
          <w:spacing w:val="-4"/>
          <w:sz w:val="24"/>
        </w:rPr>
        <w:t>зміщені.</w:t>
      </w:r>
    </w:p>
    <w:p w:rsidR="00F32A20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Вступ </w:t>
      </w:r>
    </w:p>
    <w:p w:rsidR="00F32A20" w:rsidRPr="00FD5C63" w:rsidRDefault="00F32A20" w:rsidP="00F32A20">
      <w:pPr>
        <w:ind w:firstLine="851"/>
        <w:jc w:val="both"/>
        <w:rPr>
          <w:rFonts w:ascii="Times New Roman" w:hAnsi="Times New Roman"/>
          <w:spacing w:val="-2"/>
          <w:sz w:val="24"/>
        </w:rPr>
      </w:pPr>
      <w:r w:rsidRPr="00FD5C63">
        <w:rPr>
          <w:rFonts w:ascii="Times New Roman" w:hAnsi="Times New Roman"/>
          <w:i/>
          <w:spacing w:val="-2"/>
          <w:sz w:val="24"/>
        </w:rPr>
        <w:t>Освітньо-професійна програма</w:t>
      </w:r>
      <w:r w:rsidRPr="00FD5C63">
        <w:rPr>
          <w:rFonts w:ascii="Times New Roman" w:hAnsi="Times New Roman"/>
          <w:spacing w:val="-2"/>
          <w:sz w:val="24"/>
        </w:rPr>
        <w:t xml:space="preserve"> (ОПП) є галузевим нормативним документом, у якому визначається нормативний термін та зміст навчання, нормативні форми державної атестації, встановлюються вимоги до змісту, </w:t>
      </w:r>
      <w:r w:rsidRPr="00FD5C63">
        <w:rPr>
          <w:rFonts w:ascii="Times New Roman" w:hAnsi="Times New Roman"/>
          <w:color w:val="000000"/>
          <w:spacing w:val="-2"/>
          <w:sz w:val="24"/>
        </w:rPr>
        <w:t>обсягу та професійної</w:t>
      </w:r>
      <w:r w:rsidRPr="00FD5C63">
        <w:rPr>
          <w:rFonts w:ascii="Times New Roman" w:hAnsi="Times New Roman"/>
          <w:spacing w:val="-2"/>
          <w:sz w:val="24"/>
        </w:rPr>
        <w:t xml:space="preserve"> підгото</w:t>
      </w:r>
      <w:r w:rsidRPr="00FD5C63">
        <w:rPr>
          <w:rFonts w:ascii="Times New Roman" w:hAnsi="Times New Roman"/>
          <w:spacing w:val="-2"/>
          <w:sz w:val="24"/>
        </w:rPr>
        <w:t>в</w:t>
      </w:r>
      <w:r w:rsidRPr="00FD5C63">
        <w:rPr>
          <w:rFonts w:ascii="Times New Roman" w:hAnsi="Times New Roman"/>
          <w:spacing w:val="-2"/>
          <w:sz w:val="24"/>
        </w:rPr>
        <w:t>ки фахівця відповідного освітньо-кваліфікаційного рівня.</w:t>
      </w:r>
    </w:p>
    <w:p w:rsidR="00F32A20" w:rsidRPr="00FD5C63" w:rsidRDefault="00F32A20" w:rsidP="00F32A20">
      <w:pPr>
        <w:tabs>
          <w:tab w:val="left" w:pos="1069"/>
          <w:tab w:val="left" w:pos="1418"/>
        </w:tabs>
        <w:ind w:firstLine="851"/>
        <w:jc w:val="both"/>
        <w:rPr>
          <w:rFonts w:ascii="Times New Roman" w:hAnsi="Times New Roman"/>
          <w:color w:val="000000"/>
          <w:sz w:val="24"/>
        </w:rPr>
      </w:pPr>
      <w:r w:rsidRPr="00FD5C63">
        <w:rPr>
          <w:rFonts w:ascii="Times New Roman" w:hAnsi="Times New Roman"/>
          <w:color w:val="000000"/>
          <w:sz w:val="24"/>
        </w:rPr>
        <w:t xml:space="preserve">Сторінки, на яких розміщені </w:t>
      </w:r>
      <w:r w:rsidRPr="00FD5C63">
        <w:rPr>
          <w:rFonts w:ascii="Times New Roman" w:hAnsi="Times New Roman"/>
          <w:i/>
          <w:color w:val="000000"/>
          <w:sz w:val="24"/>
        </w:rPr>
        <w:t>Передмова, Зміст,</w:t>
      </w:r>
      <w:r w:rsidRPr="00FD5C63">
        <w:rPr>
          <w:rFonts w:ascii="Times New Roman" w:hAnsi="Times New Roman"/>
          <w:color w:val="000000"/>
          <w:sz w:val="24"/>
        </w:rPr>
        <w:t xml:space="preserve"> </w:t>
      </w:r>
      <w:r w:rsidRPr="00FD5C63">
        <w:rPr>
          <w:rFonts w:ascii="Times New Roman" w:hAnsi="Times New Roman"/>
          <w:i/>
          <w:color w:val="000000"/>
          <w:sz w:val="24"/>
        </w:rPr>
        <w:t xml:space="preserve">Вступ, </w:t>
      </w:r>
      <w:r w:rsidRPr="00FD5C63">
        <w:rPr>
          <w:rFonts w:ascii="Times New Roman" w:hAnsi="Times New Roman"/>
          <w:color w:val="000000"/>
          <w:sz w:val="24"/>
        </w:rPr>
        <w:t>нумерують римськими цифрами, починаючи з титульного аркуша. На титульному аркуші номер сторінки “І” не ставлять. Нумерацію сторінок проставляють на правому нижньому ріжку на непарних і на лівому нижньому ріжку на парних сторінках.</w:t>
      </w:r>
    </w:p>
    <w:p w:rsidR="00F32A20" w:rsidRDefault="00F32A20" w:rsidP="00F32A20">
      <w:pPr>
        <w:tabs>
          <w:tab w:val="left" w:pos="2694"/>
        </w:tabs>
        <w:jc w:val="both"/>
        <w:rPr>
          <w:rFonts w:ascii="Times New Roman" w:hAnsi="Times New Roman"/>
          <w:i/>
          <w:color w:val="000000"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1. Галузь використання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Зміст цього розділу формується так само, як зміст відповідного розділу </w:t>
      </w:r>
      <w:proofErr w:type="spellStart"/>
      <w:r w:rsidRPr="00FD5C63">
        <w:rPr>
          <w:rFonts w:ascii="Times New Roman" w:hAnsi="Times New Roman"/>
          <w:sz w:val="24"/>
        </w:rPr>
        <w:t>ОКХ</w:t>
      </w:r>
      <w:proofErr w:type="spellEnd"/>
      <w:r w:rsidRPr="00FD5C63">
        <w:rPr>
          <w:rFonts w:ascii="Times New Roman" w:hAnsi="Times New Roman"/>
          <w:sz w:val="24"/>
        </w:rPr>
        <w:t>.</w:t>
      </w:r>
    </w:p>
    <w:p w:rsidR="00F32A20" w:rsidRPr="00FD5C63" w:rsidRDefault="00F32A20" w:rsidP="00F32A20">
      <w:pPr>
        <w:pStyle w:val="2"/>
        <w:tabs>
          <w:tab w:val="left" w:pos="2694"/>
        </w:tabs>
        <w:ind w:firstLine="851"/>
        <w:rPr>
          <w:sz w:val="24"/>
        </w:rPr>
      </w:pPr>
      <w:r w:rsidRPr="00FD5C63">
        <w:rPr>
          <w:sz w:val="24"/>
        </w:rPr>
        <w:t xml:space="preserve">У розділі указується нормативний термін для денної форми навчання (у роках). Нормативний термін навчання встановлюється відповідно </w:t>
      </w:r>
      <w:r w:rsidRPr="00FD5C63">
        <w:rPr>
          <w:bCs/>
          <w:sz w:val="24"/>
        </w:rPr>
        <w:t>до вимог нормативних докум</w:t>
      </w:r>
      <w:r w:rsidRPr="00FD5C63">
        <w:rPr>
          <w:bCs/>
          <w:sz w:val="24"/>
        </w:rPr>
        <w:t>е</w:t>
      </w:r>
      <w:r w:rsidRPr="00FD5C63">
        <w:rPr>
          <w:bCs/>
          <w:sz w:val="24"/>
        </w:rPr>
        <w:t>нтів з врахуванням</w:t>
      </w:r>
      <w:r w:rsidRPr="00FD5C63">
        <w:rPr>
          <w:sz w:val="24"/>
        </w:rPr>
        <w:t xml:space="preserve"> рівня майбутньої професійної діяльності випускника вищого навчал</w:t>
      </w:r>
      <w:r w:rsidRPr="00FD5C63">
        <w:rPr>
          <w:sz w:val="24"/>
        </w:rPr>
        <w:t>ь</w:t>
      </w:r>
      <w:r w:rsidRPr="00FD5C63">
        <w:rPr>
          <w:sz w:val="24"/>
        </w:rPr>
        <w:t xml:space="preserve">ного закладу. </w:t>
      </w:r>
    </w:p>
    <w:p w:rsidR="00F32A20" w:rsidRPr="00FD5C63" w:rsidRDefault="00F32A20" w:rsidP="00F32A20">
      <w:pPr>
        <w:pStyle w:val="2"/>
        <w:tabs>
          <w:tab w:val="left" w:pos="2694"/>
        </w:tabs>
        <w:ind w:firstLine="851"/>
        <w:rPr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2. Нормативні посилання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Зміст цього розділу є обов’язковим для кожної освітньо-професійної програми. Розділ доповнюється розробниками, якщо в ОПП є посилання на будь-які інші нормативні документи.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i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3. Визначення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Цей розділ містить визначення, що необхідні для уточнення або встановлення термінів, які подані у стандарті. У разі необхідності розділ може бути доповнений розро</w:t>
      </w:r>
      <w:r w:rsidRPr="00FD5C63">
        <w:rPr>
          <w:rFonts w:ascii="Times New Roman" w:hAnsi="Times New Roman"/>
          <w:sz w:val="24"/>
        </w:rPr>
        <w:t>б</w:t>
      </w:r>
      <w:r w:rsidRPr="00FD5C63">
        <w:rPr>
          <w:rFonts w:ascii="Times New Roman" w:hAnsi="Times New Roman"/>
          <w:sz w:val="24"/>
        </w:rPr>
        <w:t>никами ОПП.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i/>
          <w:sz w:val="24"/>
        </w:rPr>
      </w:pPr>
      <w:r w:rsidRPr="00FD5C63">
        <w:rPr>
          <w:rFonts w:ascii="Times New Roman" w:hAnsi="Times New Roman"/>
          <w:b/>
          <w:sz w:val="24"/>
        </w:rPr>
        <w:t>4. Позначення і скорочення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pacing w:val="-2"/>
          <w:sz w:val="24"/>
        </w:rPr>
      </w:pPr>
      <w:r w:rsidRPr="00FD5C63">
        <w:rPr>
          <w:rFonts w:ascii="Times New Roman" w:hAnsi="Times New Roman"/>
          <w:spacing w:val="-2"/>
          <w:sz w:val="24"/>
        </w:rPr>
        <w:t xml:space="preserve">У цьому розділі подаються скорочення назв циклів підготовки, що застосовуються під час формування шифрів: </w:t>
      </w:r>
      <w:r w:rsidRPr="00FD5C63">
        <w:rPr>
          <w:rFonts w:ascii="Times New Roman" w:hAnsi="Times New Roman"/>
          <w:b/>
          <w:spacing w:val="-2"/>
          <w:sz w:val="24"/>
        </w:rPr>
        <w:t>ГСЕ (01)</w:t>
      </w:r>
      <w:r w:rsidRPr="00FD5C63">
        <w:rPr>
          <w:rFonts w:ascii="Times New Roman" w:hAnsi="Times New Roman"/>
          <w:spacing w:val="-2"/>
          <w:sz w:val="24"/>
        </w:rPr>
        <w:t xml:space="preserve"> – гуманітарної та соціально-економічної підготовки; </w:t>
      </w:r>
      <w:r w:rsidRPr="00FD5C63">
        <w:rPr>
          <w:rFonts w:ascii="Times New Roman" w:hAnsi="Times New Roman"/>
          <w:b/>
          <w:spacing w:val="-2"/>
          <w:sz w:val="24"/>
        </w:rPr>
        <w:t>МПН(02)</w:t>
      </w:r>
      <w:r w:rsidRPr="00FD5C63">
        <w:rPr>
          <w:rFonts w:ascii="Times New Roman" w:hAnsi="Times New Roman"/>
          <w:spacing w:val="-2"/>
          <w:sz w:val="24"/>
        </w:rPr>
        <w:t xml:space="preserve"> – математичної, природничо-наукової підготовки; </w:t>
      </w:r>
      <w:r w:rsidRPr="00FD5C63">
        <w:rPr>
          <w:rFonts w:ascii="Times New Roman" w:hAnsi="Times New Roman"/>
          <w:b/>
          <w:spacing w:val="-2"/>
          <w:sz w:val="24"/>
        </w:rPr>
        <w:t>ПП(03)</w:t>
      </w:r>
      <w:r w:rsidRPr="00FD5C63">
        <w:rPr>
          <w:rFonts w:ascii="Times New Roman" w:hAnsi="Times New Roman"/>
          <w:spacing w:val="-2"/>
          <w:sz w:val="24"/>
        </w:rPr>
        <w:t xml:space="preserve"> – професійної та пра</w:t>
      </w:r>
      <w:r w:rsidRPr="00FD5C63">
        <w:rPr>
          <w:rFonts w:ascii="Times New Roman" w:hAnsi="Times New Roman"/>
          <w:spacing w:val="-2"/>
          <w:sz w:val="24"/>
        </w:rPr>
        <w:t>к</w:t>
      </w:r>
      <w:r w:rsidRPr="00FD5C63">
        <w:rPr>
          <w:rFonts w:ascii="Times New Roman" w:hAnsi="Times New Roman"/>
          <w:spacing w:val="-2"/>
          <w:sz w:val="24"/>
        </w:rPr>
        <w:t xml:space="preserve">тичної підготовки. Зміст цього розділу є обов’язковим для кожної освітньо-професійної програми. 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pacing w:val="-2"/>
          <w:sz w:val="24"/>
        </w:rPr>
      </w:pPr>
      <w:r w:rsidRPr="00FD5C63">
        <w:rPr>
          <w:rFonts w:ascii="Times New Roman" w:hAnsi="Times New Roman"/>
          <w:b/>
          <w:sz w:val="24"/>
        </w:rPr>
        <w:t>5.</w:t>
      </w:r>
      <w:r w:rsidRPr="00FD5C63">
        <w:rPr>
          <w:rFonts w:ascii="Times New Roman" w:hAnsi="Times New Roman"/>
          <w:b/>
          <w:i/>
          <w:sz w:val="24"/>
        </w:rPr>
        <w:t xml:space="preserve"> </w:t>
      </w:r>
      <w:r w:rsidRPr="00FD5C63">
        <w:rPr>
          <w:rFonts w:ascii="Times New Roman" w:hAnsi="Times New Roman"/>
          <w:b/>
          <w:spacing w:val="-2"/>
          <w:sz w:val="24"/>
        </w:rPr>
        <w:t>Розподіл змісту освітньо-професійної програми та навчальний час за цикл</w:t>
      </w:r>
      <w:r w:rsidRPr="00FD5C63">
        <w:rPr>
          <w:rFonts w:ascii="Times New Roman" w:hAnsi="Times New Roman"/>
          <w:b/>
          <w:spacing w:val="-2"/>
          <w:sz w:val="24"/>
        </w:rPr>
        <w:t>а</w:t>
      </w:r>
      <w:r w:rsidRPr="00FD5C63">
        <w:rPr>
          <w:rFonts w:ascii="Times New Roman" w:hAnsi="Times New Roman"/>
          <w:b/>
          <w:spacing w:val="-2"/>
          <w:sz w:val="24"/>
        </w:rPr>
        <w:t>ми підготовки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У таблиці Додатка А вказується:</w:t>
      </w:r>
    </w:p>
    <w:p w:rsidR="00F32A20" w:rsidRPr="00FD5C63" w:rsidRDefault="00F32A20" w:rsidP="00F32A20">
      <w:pPr>
        <w:tabs>
          <w:tab w:val="left" w:pos="0"/>
          <w:tab w:val="left" w:pos="993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ab/>
        <w:t>загальний навчальний час за програмою підготовки;</w:t>
      </w:r>
    </w:p>
    <w:p w:rsidR="00F32A20" w:rsidRPr="00FD5C63" w:rsidRDefault="00F32A20" w:rsidP="00F32A20">
      <w:pPr>
        <w:tabs>
          <w:tab w:val="left" w:pos="0"/>
          <w:tab w:val="left" w:pos="993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ab/>
        <w:t>розподіл загального навчального часу за циклами підготовки у академічних годинах/ національних кредитах/ кредитах ECTS, відсотках від загального навчального час за програмою підготовки;</w:t>
      </w:r>
    </w:p>
    <w:p w:rsidR="00F32A20" w:rsidRPr="00FD5C63" w:rsidRDefault="00F32A20" w:rsidP="00F32A20">
      <w:pPr>
        <w:tabs>
          <w:tab w:val="left" w:pos="0"/>
          <w:tab w:val="left" w:pos="993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Таблиця 7.</w:t>
      </w:r>
      <w:r w:rsidRPr="00FD5C63">
        <w:rPr>
          <w:rFonts w:ascii="Times New Roman" w:hAnsi="Times New Roman"/>
          <w:sz w:val="24"/>
        </w:rPr>
        <w:t xml:space="preserve">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3190"/>
        <w:gridCol w:w="3191"/>
      </w:tblGrid>
      <w:tr w:rsidR="00F32A20" w:rsidRPr="00FD5C63" w:rsidTr="00D63AF1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 xml:space="preserve">                      Обсяг навчального часу освітньо-професійних програм</w:t>
            </w:r>
          </w:p>
          <w:p w:rsidR="00F32A20" w:rsidRPr="00FD5C63" w:rsidRDefault="00F32A20" w:rsidP="00D63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32A20" w:rsidRPr="00FD5C63" w:rsidTr="00D63AF1"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Освітньо-кваліфікаційний р</w:t>
            </w:r>
            <w:r w:rsidRPr="00FD5C63">
              <w:rPr>
                <w:rFonts w:ascii="Times New Roman" w:hAnsi="Times New Roman"/>
              </w:rPr>
              <w:t>і</w:t>
            </w:r>
            <w:r w:rsidRPr="00FD5C63">
              <w:rPr>
                <w:rFonts w:ascii="Times New Roman" w:hAnsi="Times New Roman"/>
              </w:rPr>
              <w:t>вень</w:t>
            </w: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Термін навчання за денною формою, роки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Загальний обсяг,</w:t>
            </w:r>
          </w:p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 xml:space="preserve">години /національні </w:t>
            </w:r>
            <w:r w:rsidRPr="00FD5C63">
              <w:rPr>
                <w:rFonts w:ascii="Times New Roman" w:hAnsi="Times New Roman"/>
                <w:bCs/>
              </w:rPr>
              <w:t>кредити/ кредити</w:t>
            </w:r>
            <w:r w:rsidRPr="00FD5C63">
              <w:rPr>
                <w:rFonts w:ascii="Times New Roman" w:hAnsi="Times New Roman"/>
              </w:rPr>
              <w:t xml:space="preserve"> ЕСТS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 w:val="restart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Молодший спеціаліст</w:t>
            </w: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2р.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4320/80/120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2,5р.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5400/100/150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3р.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6480/120/180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 w:val="restart"/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3р.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6480/120/180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/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3,5р.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7560/140/210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/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4р.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8640/160/240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 w:val="restart"/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магістр</w:t>
            </w: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1р.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2160/40/60</w:t>
            </w:r>
          </w:p>
        </w:tc>
      </w:tr>
      <w:tr w:rsidR="00F32A20" w:rsidRPr="00FD5C63" w:rsidTr="00D63AF1">
        <w:trPr>
          <w:cantSplit/>
        </w:trPr>
        <w:tc>
          <w:tcPr>
            <w:tcW w:w="3190" w:type="dxa"/>
            <w:vMerge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</w:rPr>
            </w:pPr>
            <w:r w:rsidRPr="00FD5C63">
              <w:rPr>
                <w:rFonts w:ascii="Times New Roman" w:hAnsi="Times New Roman"/>
              </w:rPr>
              <w:t>1,5р.</w:t>
            </w:r>
          </w:p>
        </w:tc>
        <w:tc>
          <w:tcPr>
            <w:tcW w:w="3191" w:type="dxa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</w:rPr>
            </w:pPr>
            <w:r w:rsidRPr="00FD5C63">
              <w:rPr>
                <w:rFonts w:ascii="Times New Roman" w:hAnsi="Times New Roman"/>
                <w:color w:val="000000"/>
              </w:rPr>
              <w:t>3240/60/90</w:t>
            </w:r>
          </w:p>
        </w:tc>
      </w:tr>
    </w:tbl>
    <w:p w:rsidR="00F32A20" w:rsidRPr="00FD5C63" w:rsidRDefault="00F32A20" w:rsidP="00F32A20">
      <w:pPr>
        <w:jc w:val="both"/>
        <w:rPr>
          <w:rFonts w:ascii="Times New Roman" w:hAnsi="Times New Roman"/>
        </w:rPr>
      </w:pPr>
    </w:p>
    <w:p w:rsidR="00F32A20" w:rsidRPr="00FD5C63" w:rsidRDefault="00F32A20" w:rsidP="00F32A20">
      <w:pPr>
        <w:jc w:val="both"/>
        <w:rPr>
          <w:rFonts w:ascii="Times New Roman" w:hAnsi="Times New Roman"/>
        </w:rPr>
      </w:pPr>
      <w:r w:rsidRPr="00FD5C63">
        <w:rPr>
          <w:rFonts w:ascii="Times New Roman" w:hAnsi="Times New Roman"/>
          <w:b/>
          <w:i/>
        </w:rPr>
        <w:t>Примітка:</w:t>
      </w:r>
      <w:r w:rsidRPr="00FD5C63">
        <w:rPr>
          <w:rFonts w:ascii="Times New Roman" w:hAnsi="Times New Roman"/>
        </w:rPr>
        <w:t xml:space="preserve"> Сукупний термін навчання за освітньо-кваліфікаційними рівнями «бакалавр» та «м</w:t>
      </w:r>
      <w:r w:rsidRPr="00FD5C63">
        <w:rPr>
          <w:rFonts w:ascii="Times New Roman" w:hAnsi="Times New Roman"/>
        </w:rPr>
        <w:t>а</w:t>
      </w:r>
      <w:r w:rsidRPr="00FD5C63">
        <w:rPr>
          <w:rFonts w:ascii="Times New Roman" w:hAnsi="Times New Roman"/>
        </w:rPr>
        <w:t xml:space="preserve">гістр» не може перевищувати 5 років. </w:t>
      </w:r>
    </w:p>
    <w:p w:rsidR="00F32A20" w:rsidRPr="00FD5C63" w:rsidRDefault="00F32A20" w:rsidP="00F32A20">
      <w:pPr>
        <w:ind w:firstLine="709"/>
        <w:jc w:val="both"/>
        <w:rPr>
          <w:rFonts w:ascii="Times New Roman" w:hAnsi="Times New Roman"/>
          <w:sz w:val="24"/>
          <w:u w:val="single"/>
        </w:rPr>
      </w:pPr>
    </w:p>
    <w:p w:rsidR="00F32A20" w:rsidRPr="00FD5C63" w:rsidRDefault="00F32A20" w:rsidP="00F32A20">
      <w:pPr>
        <w:ind w:firstLine="709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Відповідно до п.37 постанови Кабінету Міністрів України від 20.01.1998 № 65 но</w:t>
      </w:r>
      <w:r w:rsidRPr="00FD5C63">
        <w:rPr>
          <w:rFonts w:ascii="Times New Roman" w:hAnsi="Times New Roman"/>
          <w:sz w:val="24"/>
        </w:rPr>
        <w:t>р</w:t>
      </w:r>
      <w:r w:rsidRPr="00FD5C63">
        <w:rPr>
          <w:rFonts w:ascii="Times New Roman" w:hAnsi="Times New Roman"/>
          <w:sz w:val="24"/>
        </w:rPr>
        <w:t>мативний термін навчання магістрів визначається програмою, але не може перевищувати 1 року, а для окремих спеціальностей за погодженням з Міністерством освіти і науки України може бути встановлено термін 1,5 р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 xml:space="preserve">ку. </w:t>
      </w:r>
    </w:p>
    <w:p w:rsidR="00F32A20" w:rsidRPr="00FD5C63" w:rsidRDefault="00F32A20" w:rsidP="00F32A20">
      <w:pPr>
        <w:pStyle w:val="BodyText2"/>
        <w:spacing w:after="0" w:line="240" w:lineRule="auto"/>
        <w:ind w:firstLine="851"/>
        <w:jc w:val="both"/>
        <w:rPr>
          <w:rFonts w:ascii="Times New Roman" w:eastAsia="Calibri" w:hAnsi="Times New Roman"/>
          <w:b w:val="0"/>
          <w:color w:val="000000"/>
          <w:spacing w:val="-2"/>
          <w:sz w:val="24"/>
          <w:szCs w:val="22"/>
          <w:lang w:eastAsia="en-US"/>
        </w:rPr>
      </w:pP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Згідно з наказом МОН України № 774 від 30.12.2005 р. </w:t>
      </w:r>
      <w:proofErr w:type="spellStart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„Про</w:t>
      </w:r>
      <w:proofErr w:type="spellEnd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 впровадження креди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т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но-модульної системи організації навчального </w:t>
      </w:r>
      <w:proofErr w:type="spellStart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процесу</w:t>
      </w:r>
      <w:r w:rsidRPr="00FD5C63">
        <w:rPr>
          <w:rFonts w:ascii="Times New Roman" w:eastAsia="Calibri" w:hAnsi="Times New Roman"/>
          <w:spacing w:val="-2"/>
          <w:sz w:val="24"/>
          <w:szCs w:val="22"/>
          <w:lang w:eastAsia="en-US"/>
        </w:rPr>
        <w:t>”</w:t>
      </w:r>
      <w:proofErr w:type="spellEnd"/>
      <w:r w:rsidRPr="00FD5C63">
        <w:rPr>
          <w:rFonts w:ascii="Times New Roman" w:eastAsia="Calibri" w:hAnsi="Times New Roman"/>
          <w:spacing w:val="-2"/>
          <w:sz w:val="24"/>
          <w:szCs w:val="22"/>
          <w:lang w:eastAsia="en-US"/>
        </w:rPr>
        <w:t xml:space="preserve"> 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та Рекомендаціями щодо впров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а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дження кредитно-модульної системи у вищих навчальних закладах ІІІ – IV рівнів акредитації </w:t>
      </w:r>
      <w:r w:rsidRPr="00FD5C63">
        <w:rPr>
          <w:rFonts w:ascii="Times New Roman" w:eastAsia="Calibri" w:hAnsi="Times New Roman"/>
          <w:b w:val="0"/>
          <w:color w:val="000000"/>
          <w:spacing w:val="-2"/>
          <w:sz w:val="24"/>
          <w:szCs w:val="22"/>
          <w:lang w:eastAsia="en-US"/>
        </w:rPr>
        <w:t>навчальні заклади розробляють навчальні плани підготовки фахівців з врах</w:t>
      </w:r>
      <w:r w:rsidRPr="00FD5C63">
        <w:rPr>
          <w:rFonts w:ascii="Times New Roman" w:eastAsia="Calibri" w:hAnsi="Times New Roman"/>
          <w:b w:val="0"/>
          <w:color w:val="000000"/>
          <w:spacing w:val="-2"/>
          <w:sz w:val="24"/>
          <w:szCs w:val="22"/>
          <w:lang w:eastAsia="en-US"/>
        </w:rPr>
        <w:t>у</w:t>
      </w:r>
      <w:r w:rsidRPr="00FD5C63">
        <w:rPr>
          <w:rFonts w:ascii="Times New Roman" w:eastAsia="Calibri" w:hAnsi="Times New Roman"/>
          <w:b w:val="0"/>
          <w:color w:val="000000"/>
          <w:spacing w:val="-2"/>
          <w:sz w:val="24"/>
          <w:szCs w:val="22"/>
          <w:lang w:eastAsia="en-US"/>
        </w:rPr>
        <w:t>ванням рекомендацій Європейської системи перерахування кредитів ECTS.</w:t>
      </w:r>
    </w:p>
    <w:p w:rsidR="00F32A20" w:rsidRPr="00FD5C63" w:rsidRDefault="00F32A20" w:rsidP="00F32A20">
      <w:pPr>
        <w:pStyle w:val="BodyText2"/>
        <w:spacing w:after="0" w:line="240" w:lineRule="auto"/>
        <w:ind w:firstLine="851"/>
        <w:jc w:val="both"/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</w:pPr>
      <w:r w:rsidRPr="00FD5C63">
        <w:rPr>
          <w:rFonts w:ascii="Times New Roman" w:hAnsi="Times New Roman"/>
          <w:b w:val="0"/>
          <w:sz w:val="24"/>
        </w:rPr>
        <w:t>Відповідно до н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аказу МОН України № 812 від 20.10.2004 р. </w:t>
      </w:r>
      <w:proofErr w:type="spellStart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„Про</w:t>
      </w:r>
      <w:proofErr w:type="spellEnd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 xml:space="preserve"> особливості впровадження кредитно-модульної системи організації навчального </w:t>
      </w:r>
      <w:proofErr w:type="spellStart"/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процесу”</w:t>
      </w:r>
      <w:proofErr w:type="spellEnd"/>
      <w:r w:rsidRPr="00FD5C63">
        <w:rPr>
          <w:rFonts w:ascii="Times New Roman" w:eastAsia="Calibri" w:hAnsi="Times New Roman"/>
          <w:spacing w:val="-2"/>
          <w:sz w:val="24"/>
          <w:szCs w:val="22"/>
          <w:lang w:eastAsia="en-US"/>
        </w:rPr>
        <w:t xml:space="preserve"> 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встановлюється, що:</w:t>
      </w:r>
    </w:p>
    <w:p w:rsidR="00F32A20" w:rsidRPr="00FD5C63" w:rsidRDefault="00F32A20" w:rsidP="00F32A20">
      <w:pPr>
        <w:pStyle w:val="BodyText2"/>
        <w:spacing w:after="0" w:line="240" w:lineRule="auto"/>
        <w:ind w:firstLine="851"/>
        <w:jc w:val="both"/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</w:pP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- ціна кредиту ECTS складає 36 академічних годин. Нормативна кіл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ь</w:t>
      </w:r>
      <w:r w:rsidRPr="00FD5C63">
        <w:rPr>
          <w:rFonts w:ascii="Times New Roman" w:eastAsia="Calibri" w:hAnsi="Times New Roman"/>
          <w:b w:val="0"/>
          <w:spacing w:val="-2"/>
          <w:sz w:val="24"/>
          <w:szCs w:val="22"/>
          <w:lang w:eastAsia="en-US"/>
        </w:rPr>
        <w:t>кість залікових одиниць на один навчальний рік – 60 кредитів ECTS;</w:t>
      </w:r>
    </w:p>
    <w:p w:rsidR="00F32A20" w:rsidRPr="00FD5C63" w:rsidRDefault="00F32A20" w:rsidP="00F32A20">
      <w:pPr>
        <w:ind w:firstLine="709"/>
        <w:jc w:val="both"/>
        <w:rPr>
          <w:rFonts w:ascii="Times New Roman" w:hAnsi="Times New Roman"/>
          <w:spacing w:val="-2"/>
          <w:sz w:val="24"/>
        </w:rPr>
      </w:pPr>
      <w:r w:rsidRPr="00FD5C63">
        <w:rPr>
          <w:rFonts w:ascii="Times New Roman" w:hAnsi="Times New Roman"/>
          <w:spacing w:val="-2"/>
          <w:sz w:val="24"/>
        </w:rPr>
        <w:t>- кількість кредитів ECTS на навчальну дисципліну визначається діленням загального обсягу годин з навчальної дисципліни на ціну кр</w:t>
      </w:r>
      <w:r w:rsidRPr="00FD5C63">
        <w:rPr>
          <w:rFonts w:ascii="Times New Roman" w:hAnsi="Times New Roman"/>
          <w:spacing w:val="-2"/>
          <w:sz w:val="24"/>
        </w:rPr>
        <w:t>е</w:t>
      </w:r>
      <w:r w:rsidRPr="00FD5C63">
        <w:rPr>
          <w:rFonts w:ascii="Times New Roman" w:hAnsi="Times New Roman"/>
          <w:spacing w:val="-2"/>
          <w:sz w:val="24"/>
        </w:rPr>
        <w:t>диту (з округленням до 0,5 кредиту). Загальний обсяг годин з навчальної дисципліни повинен включати час на проведення ле</w:t>
      </w:r>
      <w:r w:rsidRPr="00FD5C63">
        <w:rPr>
          <w:rFonts w:ascii="Times New Roman" w:hAnsi="Times New Roman"/>
          <w:spacing w:val="-2"/>
          <w:sz w:val="24"/>
        </w:rPr>
        <w:t>к</w:t>
      </w:r>
      <w:r w:rsidRPr="00FD5C63">
        <w:rPr>
          <w:rFonts w:ascii="Times New Roman" w:hAnsi="Times New Roman"/>
          <w:spacing w:val="-2"/>
          <w:sz w:val="24"/>
        </w:rPr>
        <w:t>цій, практичних, семінарських та лабораторних занять, консультацій, практик, самості</w:t>
      </w:r>
      <w:r w:rsidRPr="00FD5C63">
        <w:rPr>
          <w:rFonts w:ascii="Times New Roman" w:hAnsi="Times New Roman"/>
          <w:spacing w:val="-2"/>
          <w:sz w:val="24"/>
        </w:rPr>
        <w:t>й</w:t>
      </w:r>
      <w:r w:rsidRPr="00FD5C63">
        <w:rPr>
          <w:rFonts w:ascii="Times New Roman" w:hAnsi="Times New Roman"/>
          <w:spacing w:val="-2"/>
          <w:sz w:val="24"/>
        </w:rPr>
        <w:t>ної та індивідуальної роботи і контрольних заходів.</w:t>
      </w:r>
    </w:p>
    <w:p w:rsidR="00F32A20" w:rsidRPr="00FD5C63" w:rsidRDefault="00F32A20" w:rsidP="00F32A20">
      <w:pPr>
        <w:ind w:firstLine="709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lastRenderedPageBreak/>
        <w:t>Загальний навчальний час підготовки не враховує канікули, святкові дні і складається з навчал</w:t>
      </w:r>
      <w:r w:rsidRPr="00FD5C63">
        <w:rPr>
          <w:rFonts w:ascii="Times New Roman" w:hAnsi="Times New Roman"/>
          <w:sz w:val="24"/>
        </w:rPr>
        <w:t>ь</w:t>
      </w:r>
      <w:r w:rsidRPr="00FD5C63">
        <w:rPr>
          <w:rFonts w:ascii="Times New Roman" w:hAnsi="Times New Roman"/>
          <w:sz w:val="24"/>
        </w:rPr>
        <w:t>ного часу засвоєння нормативної частини змісту ОПП (змісту навчання) та вибіркової ча</w:t>
      </w:r>
      <w:r w:rsidRPr="00FD5C63">
        <w:rPr>
          <w:rFonts w:ascii="Times New Roman" w:hAnsi="Times New Roman"/>
          <w:sz w:val="24"/>
        </w:rPr>
        <w:t>с</w:t>
      </w:r>
      <w:r w:rsidRPr="00FD5C63">
        <w:rPr>
          <w:rFonts w:ascii="Times New Roman" w:hAnsi="Times New Roman"/>
          <w:sz w:val="24"/>
        </w:rPr>
        <w:t>тини.</w:t>
      </w:r>
    </w:p>
    <w:p w:rsidR="00F32A20" w:rsidRPr="00FD5C63" w:rsidRDefault="00F32A20" w:rsidP="00F32A20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FD5C63">
        <w:rPr>
          <w:rFonts w:ascii="Times New Roman" w:hAnsi="Times New Roman"/>
          <w:sz w:val="24"/>
        </w:rPr>
        <w:t xml:space="preserve">Для кожного циклу підготовки в нормативній частині освітньо-професійної програми (таблиця Додатку А) </w:t>
      </w:r>
      <w:r w:rsidRPr="00FD5C63">
        <w:rPr>
          <w:rFonts w:ascii="Times New Roman" w:hAnsi="Times New Roman"/>
          <w:color w:val="000000"/>
          <w:sz w:val="24"/>
        </w:rPr>
        <w:t xml:space="preserve">вказується навчальний час у годинах, </w:t>
      </w:r>
      <w:r w:rsidRPr="00FD5C63">
        <w:rPr>
          <w:rFonts w:ascii="Times New Roman" w:hAnsi="Times New Roman"/>
          <w:bCs/>
          <w:color w:val="000000"/>
          <w:sz w:val="24"/>
        </w:rPr>
        <w:t>націонал</w:t>
      </w:r>
      <w:r w:rsidRPr="00FD5C63">
        <w:rPr>
          <w:rFonts w:ascii="Times New Roman" w:hAnsi="Times New Roman"/>
          <w:bCs/>
          <w:color w:val="000000"/>
          <w:sz w:val="24"/>
        </w:rPr>
        <w:t>ь</w:t>
      </w:r>
      <w:r w:rsidRPr="00FD5C63">
        <w:rPr>
          <w:rFonts w:ascii="Times New Roman" w:hAnsi="Times New Roman"/>
          <w:bCs/>
          <w:color w:val="000000"/>
          <w:sz w:val="24"/>
        </w:rPr>
        <w:t>них кредитах</w:t>
      </w:r>
      <w:r w:rsidRPr="00FD5C63">
        <w:rPr>
          <w:rFonts w:ascii="Times New Roman" w:hAnsi="Times New Roman"/>
          <w:color w:val="000000"/>
          <w:sz w:val="24"/>
        </w:rPr>
        <w:t xml:space="preserve"> та кредитах ECTS відповідно до відсотків, вказаних у Методиці.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sz w:val="24"/>
          <w:lang w:val="ru-RU"/>
        </w:rPr>
      </w:pPr>
      <w:r w:rsidRPr="00FD5C63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sz w:val="24"/>
          <w:lang w:val="ru-RU"/>
        </w:rPr>
      </w:pPr>
    </w:p>
    <w:p w:rsidR="00F32A20" w:rsidRPr="00F32A20" w:rsidRDefault="00F32A20" w:rsidP="00F32A20">
      <w:pPr>
        <w:tabs>
          <w:tab w:val="left" w:pos="2694"/>
        </w:tabs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Таблиця 7</w:t>
      </w:r>
      <w:r w:rsidRPr="00FD5C63">
        <w:rPr>
          <w:rFonts w:ascii="Times New Roman" w:hAnsi="Times New Roman"/>
          <w:sz w:val="24"/>
        </w:rPr>
        <w:t>.2.</w:t>
      </w:r>
    </w:p>
    <w:p w:rsidR="00F32A20" w:rsidRPr="00FD5C63" w:rsidRDefault="00F32A20" w:rsidP="00F32A20">
      <w:pPr>
        <w:tabs>
          <w:tab w:val="left" w:pos="2694"/>
        </w:tabs>
        <w:jc w:val="center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Загальний навчальний час за програмою підготовки молодшого спец</w:t>
      </w:r>
      <w:r w:rsidRPr="00FD5C63">
        <w:rPr>
          <w:rFonts w:ascii="Times New Roman" w:hAnsi="Times New Roman"/>
          <w:b/>
          <w:sz w:val="24"/>
        </w:rPr>
        <w:t>і</w:t>
      </w:r>
      <w:r w:rsidRPr="00FD5C63">
        <w:rPr>
          <w:rFonts w:ascii="Times New Roman" w:hAnsi="Times New Roman"/>
          <w:b/>
          <w:sz w:val="24"/>
        </w:rPr>
        <w:t>аліста та розподіл загального навчального часу за циклами підготовки у націонал</w:t>
      </w:r>
      <w:r w:rsidRPr="00FD5C63">
        <w:rPr>
          <w:rFonts w:ascii="Times New Roman" w:hAnsi="Times New Roman"/>
          <w:b/>
          <w:sz w:val="24"/>
        </w:rPr>
        <w:t>ь</w:t>
      </w:r>
      <w:r w:rsidRPr="00FD5C63">
        <w:rPr>
          <w:rFonts w:ascii="Times New Roman" w:hAnsi="Times New Roman"/>
          <w:b/>
          <w:sz w:val="24"/>
        </w:rPr>
        <w:t xml:space="preserve">них кредитах та кредитах ECTS. (1 кредит ECTS – 36 </w:t>
      </w:r>
      <w:proofErr w:type="spellStart"/>
      <w:r w:rsidRPr="00FD5C63">
        <w:rPr>
          <w:rFonts w:ascii="Times New Roman" w:hAnsi="Times New Roman"/>
          <w:b/>
          <w:sz w:val="24"/>
        </w:rPr>
        <w:t>год</w:t>
      </w:r>
      <w:proofErr w:type="spellEnd"/>
      <w:r w:rsidRPr="00FD5C63">
        <w:rPr>
          <w:rFonts w:ascii="Times New Roman" w:hAnsi="Times New Roman"/>
          <w:b/>
          <w:sz w:val="24"/>
        </w:rPr>
        <w:t xml:space="preserve"> )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tbl>
      <w:tblPr>
        <w:tblW w:w="9680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50"/>
        <w:gridCol w:w="1548"/>
        <w:gridCol w:w="1654"/>
        <w:gridCol w:w="1928"/>
      </w:tblGrid>
      <w:tr w:rsidR="00F32A20" w:rsidRPr="00FD5C63" w:rsidTr="00D63AF1">
        <w:trPr>
          <w:cantSplit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center"/>
              <w:rPr>
                <w:rFonts w:ascii="Times New Roman" w:hAnsi="Times New Roman"/>
                <w:i/>
                <w:spacing w:val="20"/>
                <w:sz w:val="20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Термін навчання(років</w:t>
            </w:r>
            <w:r w:rsidRPr="00FD5C63">
              <w:rPr>
                <w:rFonts w:ascii="Times New Roman" w:hAnsi="Times New Roman"/>
                <w:i/>
                <w:spacing w:val="20"/>
                <w:sz w:val="20"/>
              </w:rPr>
              <w:t>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0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0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0"/>
              </w:rPr>
              <w:t>2,5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0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0"/>
              </w:rPr>
              <w:t>3</w:t>
            </w:r>
          </w:p>
        </w:tc>
      </w:tr>
      <w:tr w:rsidR="00F32A20" w:rsidRPr="00FD5C63" w:rsidTr="00D63AF1">
        <w:trPr>
          <w:cantSplit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Загальний навчальний час підгото</w:t>
            </w:r>
            <w:r w:rsidRPr="00FD5C63">
              <w:rPr>
                <w:rFonts w:ascii="Times New Roman" w:hAnsi="Times New Roman"/>
                <w:b/>
                <w:sz w:val="24"/>
              </w:rPr>
              <w:t>в</w:t>
            </w:r>
            <w:r w:rsidRPr="00FD5C63">
              <w:rPr>
                <w:rFonts w:ascii="Times New Roman" w:hAnsi="Times New Roman"/>
                <w:b/>
                <w:sz w:val="24"/>
              </w:rPr>
              <w:t>ки (академічних г</w:t>
            </w:r>
            <w:r w:rsidRPr="00FD5C63">
              <w:rPr>
                <w:rFonts w:ascii="Times New Roman" w:hAnsi="Times New Roman"/>
                <w:b/>
                <w:sz w:val="24"/>
              </w:rPr>
              <w:t>о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дин/кредитів/кредитів </w:t>
            </w:r>
            <w:r w:rsidRPr="00FD5C63">
              <w:rPr>
                <w:rFonts w:ascii="Times New Roman" w:hAnsi="Times New Roman"/>
                <w:b/>
                <w:i/>
                <w:sz w:val="24"/>
              </w:rPr>
              <w:t>ECTS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 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4320/80/120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5400/100/150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6480/120/180</w:t>
            </w:r>
          </w:p>
        </w:tc>
      </w:tr>
      <w:tr w:rsidR="00F32A20" w:rsidRPr="00FD5C63" w:rsidTr="00D63AF1">
        <w:trPr>
          <w:cantSplit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 xml:space="preserve">Навчальний час за циклами (академічних годин/кредитів /кредитів </w:t>
            </w:r>
            <w:r w:rsidRPr="00FD5C63">
              <w:rPr>
                <w:rFonts w:ascii="Times New Roman" w:hAnsi="Times New Roman"/>
                <w:i/>
                <w:sz w:val="24"/>
              </w:rPr>
              <w:t>ECTS</w:t>
            </w:r>
            <w:r w:rsidRPr="00FD5C63">
              <w:rPr>
                <w:rFonts w:ascii="Times New Roman" w:hAnsi="Times New Roman"/>
                <w:sz w:val="24"/>
              </w:rPr>
              <w:t xml:space="preserve">) у відсотках від 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 xml:space="preserve">загального </w:t>
            </w:r>
            <w:r w:rsidRPr="00FD5C63">
              <w:rPr>
                <w:rFonts w:ascii="Times New Roman" w:hAnsi="Times New Roman"/>
                <w:sz w:val="24"/>
              </w:rPr>
              <w:t>часу підготовки :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</w:p>
        </w:tc>
      </w:tr>
      <w:tr w:rsidR="00F32A20" w:rsidRPr="00FD5C63" w:rsidTr="00D63AF1">
        <w:trPr>
          <w:cantSplit/>
        </w:trPr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ГСЕ  гуманітарної та соціально-економічної підготовки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</w:tr>
      <w:tr w:rsidR="00F32A20" w:rsidRPr="00FD5C63" w:rsidTr="00D63AF1">
        <w:trPr>
          <w:cantSplit/>
        </w:trPr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МПН математичної</w:t>
            </w:r>
            <w:r w:rsidRPr="00FD5C63">
              <w:rPr>
                <w:rFonts w:ascii="Times New Roman" w:hAnsi="Times New Roman"/>
                <w:sz w:val="24"/>
              </w:rPr>
              <w:t xml:space="preserve"> та природничо-наукової підготовки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</w:tr>
      <w:tr w:rsidR="00F32A20" w:rsidRPr="00FD5C63" w:rsidTr="00D63AF1">
        <w:trPr>
          <w:cantSplit/>
        </w:trPr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32A20" w:rsidRPr="00FD5C63" w:rsidRDefault="00F32A20" w:rsidP="00D63A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ПП професійної та практичної підготовки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60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10%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60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60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10%</w:t>
            </w:r>
          </w:p>
        </w:tc>
      </w:tr>
    </w:tbl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color w:val="000000"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color w:val="000000"/>
          <w:sz w:val="24"/>
        </w:rPr>
      </w:pPr>
      <w:r w:rsidRPr="00FD5C63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Таблиця 7</w:t>
      </w:r>
      <w:r w:rsidRPr="00FD5C63">
        <w:rPr>
          <w:rFonts w:ascii="Times New Roman" w:hAnsi="Times New Roman"/>
          <w:sz w:val="24"/>
        </w:rPr>
        <w:t>.3</w:t>
      </w:r>
    </w:p>
    <w:p w:rsidR="00F32A20" w:rsidRPr="00FD5C63" w:rsidRDefault="00F32A20" w:rsidP="00F32A20">
      <w:pPr>
        <w:tabs>
          <w:tab w:val="left" w:pos="2694"/>
        </w:tabs>
        <w:jc w:val="center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Загальний навчальний час за програмою підготовки бакалавра та ро</w:t>
      </w:r>
      <w:r w:rsidRPr="00FD5C63">
        <w:rPr>
          <w:rFonts w:ascii="Times New Roman" w:hAnsi="Times New Roman"/>
          <w:b/>
          <w:sz w:val="24"/>
        </w:rPr>
        <w:t>з</w:t>
      </w:r>
      <w:r w:rsidRPr="00FD5C63">
        <w:rPr>
          <w:rFonts w:ascii="Times New Roman" w:hAnsi="Times New Roman"/>
          <w:b/>
          <w:sz w:val="24"/>
        </w:rPr>
        <w:t>поділ загального навчального часу за циклами підготовки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tbl>
      <w:tblPr>
        <w:tblW w:w="9680" w:type="dxa"/>
        <w:tblInd w:w="108" w:type="dxa"/>
        <w:tblLayout w:type="fixed"/>
        <w:tblLook w:val="0000"/>
      </w:tblPr>
      <w:tblGrid>
        <w:gridCol w:w="5940"/>
        <w:gridCol w:w="1870"/>
        <w:gridCol w:w="1870"/>
      </w:tblGrid>
      <w:tr w:rsidR="00F32A20" w:rsidRPr="00FD5C63" w:rsidTr="00D63AF1">
        <w:trPr>
          <w:cantSplit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center"/>
              <w:rPr>
                <w:rFonts w:ascii="Times New Roman" w:hAnsi="Times New Roman"/>
                <w:i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</w:rPr>
              <w:t>Термін навчання(років)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</w:rPr>
              <w:t>3,5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A20" w:rsidRPr="00FD5C63" w:rsidRDefault="00F32A20" w:rsidP="00D63AF1">
            <w:pPr>
              <w:tabs>
                <w:tab w:val="left" w:pos="2694"/>
              </w:tabs>
              <w:ind w:left="-108" w:firstLine="108"/>
              <w:jc w:val="center"/>
              <w:rPr>
                <w:rFonts w:ascii="Times New Roman" w:hAnsi="Times New Roman"/>
                <w:i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color w:val="000000"/>
                <w:spacing w:val="20"/>
                <w:sz w:val="24"/>
              </w:rPr>
              <w:t>4,0</w:t>
            </w:r>
          </w:p>
        </w:tc>
      </w:tr>
      <w:tr w:rsidR="00F32A20" w:rsidRPr="00FD5C63" w:rsidTr="00D63AF1">
        <w:trPr>
          <w:cantSplit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>Загальний навчальний час підготовки (академі</w:t>
            </w:r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 xml:space="preserve">них годин/кредитів//кредитів </w:t>
            </w:r>
            <w:r w:rsidRPr="00FD5C63">
              <w:rPr>
                <w:rFonts w:ascii="Times New Roman" w:hAnsi="Times New Roman"/>
                <w:b/>
                <w:i/>
                <w:color w:val="000000"/>
                <w:sz w:val="24"/>
              </w:rPr>
              <w:t>ECTS</w:t>
            </w:r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у відсотках від загального часу підготовки: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</w:rPr>
              <w:t>7560/140/210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2A20" w:rsidRPr="00FD5C63" w:rsidRDefault="00F32A20" w:rsidP="00D63AF1">
            <w:pPr>
              <w:tabs>
                <w:tab w:val="left" w:pos="2694"/>
              </w:tabs>
              <w:ind w:left="-108" w:firstLine="108"/>
              <w:jc w:val="both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8640/160/240</w:t>
            </w:r>
          </w:p>
        </w:tc>
      </w:tr>
      <w:tr w:rsidR="00F32A20" w:rsidRPr="00FD5C63" w:rsidTr="00D63AF1">
        <w:trPr>
          <w:cantSplit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Навчальний час за циклами (академічних г</w:t>
            </w:r>
            <w:r w:rsidRPr="00FD5C63">
              <w:rPr>
                <w:rFonts w:ascii="Times New Roman" w:hAnsi="Times New Roman"/>
                <w:sz w:val="24"/>
              </w:rPr>
              <w:t>о</w:t>
            </w:r>
            <w:r w:rsidRPr="00FD5C63">
              <w:rPr>
                <w:rFonts w:ascii="Times New Roman" w:hAnsi="Times New Roman"/>
                <w:sz w:val="24"/>
              </w:rPr>
              <w:t xml:space="preserve">дин/кредитів /кредитів </w:t>
            </w:r>
            <w:r w:rsidRPr="00FD5C63">
              <w:rPr>
                <w:rFonts w:ascii="Times New Roman" w:hAnsi="Times New Roman"/>
                <w:i/>
                <w:sz w:val="24"/>
              </w:rPr>
              <w:t>ECTS</w:t>
            </w:r>
            <w:r w:rsidRPr="00FD5C63">
              <w:rPr>
                <w:rFonts w:ascii="Times New Roman" w:hAnsi="Times New Roman"/>
                <w:sz w:val="24"/>
              </w:rPr>
              <w:t>) у % від загального часу підгото</w:t>
            </w:r>
            <w:r w:rsidRPr="00FD5C63">
              <w:rPr>
                <w:rFonts w:ascii="Times New Roman" w:hAnsi="Times New Roman"/>
                <w:sz w:val="24"/>
              </w:rPr>
              <w:t>в</w:t>
            </w:r>
            <w:r w:rsidRPr="00FD5C63">
              <w:rPr>
                <w:rFonts w:ascii="Times New Roman" w:hAnsi="Times New Roman"/>
                <w:sz w:val="24"/>
              </w:rPr>
              <w:t>ки):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A20" w:rsidRPr="00FD5C63" w:rsidRDefault="00F32A20" w:rsidP="00D63AF1">
            <w:pPr>
              <w:tabs>
                <w:tab w:val="left" w:pos="2694"/>
              </w:tabs>
              <w:ind w:left="-108" w:firstLine="108"/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</w:tr>
      <w:tr w:rsidR="00F32A20" w:rsidRPr="00FD5C63" w:rsidTr="00D63AF1">
        <w:trPr>
          <w:cantSplit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ГСЕ  гуманітарної та соціально-економічної підготовки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5%</w:t>
            </w:r>
          </w:p>
        </w:tc>
      </w:tr>
      <w:tr w:rsidR="00F32A20" w:rsidRPr="00FD5C63" w:rsidTr="00D63AF1">
        <w:trPr>
          <w:cantSplit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32A20" w:rsidRPr="00FD5C63" w:rsidRDefault="00F32A20" w:rsidP="00D63AF1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МПН математичної та природничо-наукової підготовки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spacing w:val="20"/>
                <w:sz w:val="24"/>
              </w:rPr>
              <w:t>5%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20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5%</w:t>
            </w:r>
          </w:p>
        </w:tc>
      </w:tr>
      <w:tr w:rsidR="00F32A20" w:rsidRPr="00FD5C63" w:rsidTr="00D63AF1">
        <w:trPr>
          <w:cantSplit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32A20" w:rsidRPr="00FD5C63" w:rsidRDefault="00F32A20" w:rsidP="00D63A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ПП професійної та практичної підготовки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FF0000"/>
                <w:spacing w:val="20"/>
                <w:sz w:val="24"/>
              </w:rPr>
              <w:t xml:space="preserve"> 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60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10%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60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  <w:u w:val="single"/>
              </w:rPr>
              <w:t>+</w:t>
            </w: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10%</w:t>
            </w:r>
          </w:p>
        </w:tc>
      </w:tr>
    </w:tbl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Таблиця 7</w:t>
      </w:r>
      <w:r w:rsidRPr="00FD5C63">
        <w:rPr>
          <w:rFonts w:ascii="Times New Roman" w:hAnsi="Times New Roman"/>
          <w:sz w:val="24"/>
        </w:rPr>
        <w:t>.4</w:t>
      </w:r>
    </w:p>
    <w:p w:rsidR="00F32A20" w:rsidRPr="00FD5C63" w:rsidRDefault="00F32A20" w:rsidP="00F32A20">
      <w:pPr>
        <w:tabs>
          <w:tab w:val="left" w:pos="2694"/>
        </w:tabs>
        <w:jc w:val="center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>Загальний навчальний час за програмою підготовки магістра та ро</w:t>
      </w:r>
      <w:r w:rsidRPr="00FD5C63">
        <w:rPr>
          <w:rFonts w:ascii="Times New Roman" w:hAnsi="Times New Roman"/>
          <w:b/>
          <w:sz w:val="24"/>
        </w:rPr>
        <w:t>з</w:t>
      </w:r>
      <w:r w:rsidRPr="00FD5C63">
        <w:rPr>
          <w:rFonts w:ascii="Times New Roman" w:hAnsi="Times New Roman"/>
          <w:b/>
          <w:sz w:val="24"/>
        </w:rPr>
        <w:t>поділ загального навчального часу за циклами підготовки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6237"/>
        <w:gridCol w:w="1701"/>
        <w:gridCol w:w="1701"/>
      </w:tblGrid>
      <w:tr w:rsidR="00F32A20" w:rsidRPr="00FD5C63" w:rsidTr="00D63AF1">
        <w:trPr>
          <w:tblHeader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center"/>
              <w:rPr>
                <w:rFonts w:ascii="Times New Roman" w:hAnsi="Times New Roman"/>
                <w:i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</w:rPr>
              <w:t>Термін навчання (років)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i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i/>
                <w:spacing w:val="20"/>
                <w:sz w:val="24"/>
              </w:rPr>
              <w:t>1,5</w:t>
            </w:r>
          </w:p>
        </w:tc>
      </w:tr>
      <w:tr w:rsidR="00F32A20" w:rsidRPr="00FD5C63" w:rsidTr="00D63AF1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Загальний навчальний час підготовки (академі</w:t>
            </w:r>
            <w:r w:rsidRPr="00FD5C63">
              <w:rPr>
                <w:rFonts w:ascii="Times New Roman" w:hAnsi="Times New Roman"/>
                <w:b/>
                <w:sz w:val="24"/>
              </w:rPr>
              <w:t>ч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них годин/кредитів//кредитів </w:t>
            </w:r>
            <w:r w:rsidRPr="00FD5C63">
              <w:rPr>
                <w:rFonts w:ascii="Times New Roman" w:hAnsi="Times New Roman"/>
                <w:b/>
                <w:i/>
                <w:sz w:val="24"/>
              </w:rPr>
              <w:t>ECTS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FD5C63">
              <w:rPr>
                <w:rFonts w:ascii="Times New Roman" w:hAnsi="Times New Roman"/>
                <w:sz w:val="24"/>
              </w:rPr>
              <w:t xml:space="preserve">у відсотках від </w:t>
            </w:r>
            <w:r w:rsidRPr="00FD5C63">
              <w:rPr>
                <w:rFonts w:ascii="Times New Roman" w:hAnsi="Times New Roman"/>
                <w:sz w:val="24"/>
              </w:rPr>
              <w:lastRenderedPageBreak/>
              <w:t>загального часу підготовки: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</w:rPr>
              <w:lastRenderedPageBreak/>
              <w:t>2160/40/60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b/>
                <w:spacing w:val="20"/>
                <w:sz w:val="24"/>
              </w:rPr>
              <w:t>3240/60/90</w:t>
            </w:r>
          </w:p>
        </w:tc>
      </w:tr>
      <w:tr w:rsidR="00F32A20" w:rsidRPr="00FD5C63" w:rsidTr="00D63AF1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lastRenderedPageBreak/>
              <w:t>Навчальний час за циклами (академічних г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 xml:space="preserve">дин/кредитів/кредитів </w:t>
            </w:r>
            <w:r w:rsidRPr="00FD5C63">
              <w:rPr>
                <w:rFonts w:ascii="Times New Roman" w:hAnsi="Times New Roman"/>
                <w:i/>
                <w:color w:val="000000"/>
                <w:sz w:val="24"/>
              </w:rPr>
              <w:t>ECTS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) у % від загального часу підготовки)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</w:tr>
      <w:tr w:rsidR="00F32A20" w:rsidRPr="00FD5C63" w:rsidTr="00D63AF1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ГСЕ  гуманітарної та соціально-економічної підготовки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10+5%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10+5%</w:t>
            </w:r>
          </w:p>
        </w:tc>
      </w:tr>
      <w:tr w:rsidR="00F32A20" w:rsidRPr="00FD5C63" w:rsidTr="00D63AF1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МПН математичної та природничо-наукової підготовки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20+5%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20+5%</w:t>
            </w:r>
          </w:p>
        </w:tc>
      </w:tr>
      <w:tr w:rsidR="00F32A20" w:rsidRPr="00FD5C63" w:rsidTr="00D63AF1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ПП професійної та практичної підготовки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70+10%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2A20" w:rsidRPr="00FD5C63" w:rsidRDefault="00F32A20" w:rsidP="00D63AF1">
            <w:pPr>
              <w:tabs>
                <w:tab w:val="left" w:pos="2694"/>
              </w:tabs>
              <w:jc w:val="both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pacing w:val="20"/>
                <w:sz w:val="24"/>
              </w:rPr>
              <w:t>70+10%</w:t>
            </w:r>
          </w:p>
        </w:tc>
      </w:tr>
    </w:tbl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Cs/>
          <w:color w:val="000000"/>
          <w:sz w:val="24"/>
        </w:rPr>
      </w:pPr>
      <w:r w:rsidRPr="00FD5C63">
        <w:rPr>
          <w:rFonts w:ascii="Times New Roman" w:hAnsi="Times New Roman"/>
          <w:bCs/>
          <w:color w:val="000000"/>
          <w:sz w:val="24"/>
        </w:rPr>
        <w:t xml:space="preserve">           *пр</w:t>
      </w:r>
      <w:r w:rsidRPr="00FD5C63">
        <w:rPr>
          <w:rFonts w:ascii="Times New Roman" w:hAnsi="Times New Roman"/>
          <w:bCs/>
          <w:color w:val="000000"/>
          <w:sz w:val="24"/>
        </w:rPr>
        <w:t>о</w:t>
      </w:r>
      <w:r w:rsidRPr="00FD5C63">
        <w:rPr>
          <w:rFonts w:ascii="Times New Roman" w:hAnsi="Times New Roman"/>
          <w:bCs/>
          <w:color w:val="000000"/>
          <w:sz w:val="24"/>
        </w:rPr>
        <w:t xml:space="preserve">фесійно-орієнтована гуманітарна і соціально-економічна підготовка – підготовка, що формує професійні компетенції відповідно до кваліфікаційної характеристики конкретної професії згідно з вимогами наказу МОН України № 642 від 09.07.2009 р. </w:t>
      </w:r>
      <w:proofErr w:type="spellStart"/>
      <w:r w:rsidRPr="00FD5C63">
        <w:rPr>
          <w:rFonts w:ascii="Times New Roman" w:hAnsi="Times New Roman"/>
          <w:bCs/>
          <w:color w:val="000000"/>
          <w:sz w:val="24"/>
        </w:rPr>
        <w:t>„Про</w:t>
      </w:r>
      <w:proofErr w:type="spellEnd"/>
      <w:r w:rsidRPr="00FD5C63">
        <w:rPr>
          <w:rFonts w:ascii="Times New Roman" w:hAnsi="Times New Roman"/>
          <w:bCs/>
          <w:color w:val="000000"/>
          <w:sz w:val="24"/>
        </w:rPr>
        <w:t xml:space="preserve"> організацію вивчення гуманітарних дисциплін за вільним вибором </w:t>
      </w:r>
      <w:proofErr w:type="spellStart"/>
      <w:r w:rsidRPr="00FD5C63">
        <w:rPr>
          <w:rFonts w:ascii="Times New Roman" w:hAnsi="Times New Roman"/>
          <w:bCs/>
          <w:color w:val="000000"/>
          <w:sz w:val="24"/>
        </w:rPr>
        <w:t>студента”</w:t>
      </w:r>
      <w:proofErr w:type="spellEnd"/>
      <w:r w:rsidRPr="00FD5C63">
        <w:rPr>
          <w:rFonts w:ascii="Times New Roman" w:hAnsi="Times New Roman"/>
          <w:bCs/>
          <w:color w:val="000000"/>
          <w:sz w:val="24"/>
        </w:rPr>
        <w:t xml:space="preserve"> та змінами і доповненнями до нього, іншими відповідними нормативними документами МОН України.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6. Нормативна частина змісту освітньо-професійної програми </w:t>
      </w:r>
    </w:p>
    <w:p w:rsidR="00F32A20" w:rsidRPr="00FD5C63" w:rsidRDefault="00F32A20" w:rsidP="00F32A20">
      <w:pPr>
        <w:ind w:firstLine="900"/>
        <w:jc w:val="both"/>
        <w:rPr>
          <w:rFonts w:ascii="Times New Roman" w:hAnsi="Times New Roman"/>
          <w:color w:val="000000"/>
          <w:sz w:val="24"/>
        </w:rPr>
      </w:pPr>
      <w:r w:rsidRPr="00FD5C63">
        <w:rPr>
          <w:rFonts w:ascii="Times New Roman" w:hAnsi="Times New Roman"/>
          <w:b/>
          <w:sz w:val="24"/>
        </w:rPr>
        <w:t>6.1</w:t>
      </w:r>
      <w:r w:rsidRPr="00FD5C63">
        <w:rPr>
          <w:rFonts w:ascii="Times New Roman" w:hAnsi="Times New Roman"/>
          <w:sz w:val="24"/>
        </w:rPr>
        <w:t xml:space="preserve">. </w:t>
      </w:r>
      <w:r w:rsidRPr="00FD5C63">
        <w:rPr>
          <w:rFonts w:ascii="Times New Roman" w:hAnsi="Times New Roman"/>
          <w:b/>
          <w:sz w:val="24"/>
        </w:rPr>
        <w:t>Змістові модулі. У</w:t>
      </w:r>
      <w:r w:rsidRPr="00FD5C63">
        <w:rPr>
          <w:rFonts w:ascii="Times New Roman" w:hAnsi="Times New Roman"/>
          <w:sz w:val="24"/>
        </w:rPr>
        <w:t xml:space="preserve"> розділі на основі аналізу системи </w:t>
      </w:r>
      <w:proofErr w:type="spellStart"/>
      <w:r w:rsidRPr="00FD5C63">
        <w:rPr>
          <w:rFonts w:ascii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hAnsi="Times New Roman"/>
          <w:sz w:val="24"/>
        </w:rPr>
        <w:t xml:space="preserve">, яка подана в освітньо-кваліфікаційній характеристиці фахівця, визначається система знань, яка потрібна для формування означених </w:t>
      </w:r>
      <w:proofErr w:type="spellStart"/>
      <w:r w:rsidRPr="00FD5C63">
        <w:rPr>
          <w:rFonts w:ascii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hAnsi="Times New Roman"/>
          <w:sz w:val="24"/>
        </w:rPr>
        <w:t>. Система визначається у вигляді частково упоря</w:t>
      </w:r>
      <w:r w:rsidRPr="00FD5C63">
        <w:rPr>
          <w:rFonts w:ascii="Times New Roman" w:hAnsi="Times New Roman"/>
          <w:sz w:val="24"/>
        </w:rPr>
        <w:t>д</w:t>
      </w:r>
      <w:r w:rsidRPr="00FD5C63">
        <w:rPr>
          <w:rFonts w:ascii="Times New Roman" w:hAnsi="Times New Roman"/>
          <w:sz w:val="24"/>
        </w:rPr>
        <w:t>кованого набору (масиву) навчальної інформації, яка згрупована у змістові модулі (Додаток Б) «Таблиця змістових модулів». Групування здійснюється за ознаками нале</w:t>
      </w:r>
      <w:r w:rsidRPr="00FD5C63">
        <w:rPr>
          <w:rFonts w:ascii="Times New Roman" w:hAnsi="Times New Roman"/>
          <w:sz w:val="24"/>
        </w:rPr>
        <w:t>ж</w:t>
      </w:r>
      <w:r w:rsidRPr="00FD5C63">
        <w:rPr>
          <w:rFonts w:ascii="Times New Roman" w:hAnsi="Times New Roman"/>
          <w:sz w:val="24"/>
        </w:rPr>
        <w:t xml:space="preserve">ності навчальної інформації певному навчальному об’єкту, що відповідає одному </w:t>
      </w:r>
      <w:r w:rsidRPr="00FD5C63">
        <w:rPr>
          <w:rFonts w:ascii="Times New Roman" w:hAnsi="Times New Roman"/>
          <w:color w:val="000000"/>
          <w:sz w:val="24"/>
        </w:rPr>
        <w:t>або декільком компонентам структури діяльності фахівця.</w:t>
      </w:r>
    </w:p>
    <w:p w:rsidR="00F32A20" w:rsidRPr="00FD5C63" w:rsidRDefault="00F32A20" w:rsidP="00F32A20">
      <w:pPr>
        <w:pStyle w:val="2"/>
        <w:ind w:firstLine="900"/>
        <w:rPr>
          <w:sz w:val="24"/>
        </w:rPr>
      </w:pPr>
      <w:r w:rsidRPr="00FD5C63">
        <w:rPr>
          <w:color w:val="000000"/>
          <w:sz w:val="24"/>
        </w:rPr>
        <w:t>Змістові модулі із системи знань не повинні дублювати зміст навчання, який</w:t>
      </w:r>
      <w:r w:rsidRPr="00FD5C63">
        <w:rPr>
          <w:sz w:val="24"/>
        </w:rPr>
        <w:t xml:space="preserve"> п</w:t>
      </w:r>
      <w:r w:rsidRPr="00FD5C63">
        <w:rPr>
          <w:sz w:val="24"/>
        </w:rPr>
        <w:t>о</w:t>
      </w:r>
      <w:r w:rsidRPr="00FD5C63">
        <w:rPr>
          <w:sz w:val="24"/>
        </w:rPr>
        <w:t>даний у стандартах загальної середньої освіти або в програмах попередніх освітньо-кваліфікаційних рівнів.</w:t>
      </w:r>
    </w:p>
    <w:p w:rsidR="00F32A20" w:rsidRPr="00FD5C63" w:rsidRDefault="00F32A20" w:rsidP="00F32A20">
      <w:pPr>
        <w:pStyle w:val="2"/>
        <w:ind w:firstLine="900"/>
        <w:rPr>
          <w:color w:val="000000"/>
          <w:sz w:val="24"/>
        </w:rPr>
      </w:pPr>
      <w:r w:rsidRPr="00FD5C63">
        <w:rPr>
          <w:color w:val="000000"/>
          <w:sz w:val="24"/>
        </w:rPr>
        <w:t>Назва змістового модуля формулюється так само, як назва теми програми навч</w:t>
      </w:r>
      <w:r w:rsidRPr="00FD5C63">
        <w:rPr>
          <w:color w:val="000000"/>
          <w:sz w:val="24"/>
        </w:rPr>
        <w:t>а</w:t>
      </w:r>
      <w:r w:rsidRPr="00FD5C63">
        <w:rPr>
          <w:color w:val="000000"/>
          <w:sz w:val="24"/>
        </w:rPr>
        <w:t>льної дисципліни або практики.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color w:val="000000"/>
          <w:sz w:val="24"/>
        </w:rPr>
      </w:pPr>
      <w:r w:rsidRPr="00FD5C63">
        <w:rPr>
          <w:rFonts w:ascii="Times New Roman" w:hAnsi="Times New Roman"/>
          <w:b/>
          <w:color w:val="000000"/>
        </w:rPr>
        <w:t xml:space="preserve">              6</w:t>
      </w:r>
      <w:r w:rsidRPr="00FD5C63">
        <w:rPr>
          <w:rFonts w:ascii="Times New Roman" w:hAnsi="Times New Roman"/>
          <w:b/>
          <w:color w:val="000000"/>
          <w:sz w:val="24"/>
        </w:rPr>
        <w:t xml:space="preserve">.2. Перелік навчальних дисциплін і практик </w:t>
      </w:r>
    </w:p>
    <w:p w:rsidR="00F32A20" w:rsidRPr="00FD5C63" w:rsidRDefault="00F32A20" w:rsidP="00F32A20">
      <w:pPr>
        <w:pStyle w:val="2"/>
        <w:tabs>
          <w:tab w:val="left" w:pos="2694"/>
        </w:tabs>
        <w:rPr>
          <w:spacing w:val="-6"/>
          <w:sz w:val="24"/>
        </w:rPr>
      </w:pPr>
      <w:r w:rsidRPr="00FD5C63">
        <w:rPr>
          <w:spacing w:val="-6"/>
          <w:sz w:val="24"/>
        </w:rPr>
        <w:t xml:space="preserve">У таблиці </w:t>
      </w:r>
      <w:r w:rsidRPr="00FD5C63">
        <w:rPr>
          <w:color w:val="000000"/>
          <w:spacing w:val="-6"/>
          <w:sz w:val="24"/>
        </w:rPr>
        <w:t>Додатка В</w:t>
      </w:r>
      <w:r w:rsidRPr="00FD5C63">
        <w:rPr>
          <w:spacing w:val="-6"/>
          <w:sz w:val="24"/>
        </w:rPr>
        <w:t xml:space="preserve"> подається перелік нормативних навчальних дисциплін й пра</w:t>
      </w:r>
      <w:r w:rsidRPr="00FD5C63">
        <w:rPr>
          <w:spacing w:val="-6"/>
          <w:sz w:val="24"/>
        </w:rPr>
        <w:t>к</w:t>
      </w:r>
      <w:r w:rsidRPr="00FD5C63">
        <w:rPr>
          <w:spacing w:val="-6"/>
          <w:sz w:val="24"/>
        </w:rPr>
        <w:t>тик (видів практичної підготовки), вказуються назви й шифри блоків змістових модулів, із яких формуються ці навчальні дисципліни й практики, і назви та шифри змістових модулів, що вх</w:t>
      </w:r>
      <w:r w:rsidRPr="00FD5C63">
        <w:rPr>
          <w:spacing w:val="-6"/>
          <w:sz w:val="24"/>
        </w:rPr>
        <w:t>о</w:t>
      </w:r>
      <w:r w:rsidRPr="00FD5C63">
        <w:rPr>
          <w:spacing w:val="-6"/>
          <w:sz w:val="24"/>
        </w:rPr>
        <w:t>дять до даного блоку змістових модулів.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pacing w:val="-6"/>
          <w:sz w:val="24"/>
        </w:rPr>
      </w:pPr>
      <w:r w:rsidRPr="00FD5C63">
        <w:rPr>
          <w:rFonts w:ascii="Times New Roman" w:hAnsi="Times New Roman"/>
          <w:sz w:val="24"/>
        </w:rPr>
        <w:t>Певні компетенції, які наведені в освітньо-кваліфікаційній характеристиці фахі</w:t>
      </w:r>
      <w:r w:rsidRPr="00FD5C63">
        <w:rPr>
          <w:rFonts w:ascii="Times New Roman" w:hAnsi="Times New Roman"/>
          <w:sz w:val="24"/>
        </w:rPr>
        <w:t>в</w:t>
      </w:r>
      <w:r w:rsidRPr="00FD5C63">
        <w:rPr>
          <w:rFonts w:ascii="Times New Roman" w:hAnsi="Times New Roman"/>
          <w:sz w:val="24"/>
        </w:rPr>
        <w:t>ця, можуть формуватися на завершальному етапі навчання студентів у вищому навчал</w:t>
      </w:r>
      <w:r w:rsidRPr="00FD5C63">
        <w:rPr>
          <w:rFonts w:ascii="Times New Roman" w:hAnsi="Times New Roman"/>
          <w:sz w:val="24"/>
        </w:rPr>
        <w:t>ь</w:t>
      </w:r>
      <w:r w:rsidRPr="00FD5C63">
        <w:rPr>
          <w:rFonts w:ascii="Times New Roman" w:hAnsi="Times New Roman"/>
          <w:sz w:val="24"/>
        </w:rPr>
        <w:t xml:space="preserve">ному закладі, що передбачає виконання дипломного проекту (роботи). Тому дипломне проектування або виконання дипломної роботи з відповідним переліком </w:t>
      </w:r>
      <w:r w:rsidRPr="00FD5C63">
        <w:rPr>
          <w:rFonts w:ascii="Times New Roman" w:hAnsi="Times New Roman"/>
          <w:color w:val="000000"/>
          <w:spacing w:val="-6"/>
          <w:sz w:val="24"/>
        </w:rPr>
        <w:t>назв й змістових модулів</w:t>
      </w:r>
      <w:r w:rsidRPr="00FD5C63">
        <w:rPr>
          <w:rFonts w:ascii="Times New Roman" w:hAnsi="Times New Roman"/>
          <w:color w:val="000000"/>
          <w:sz w:val="24"/>
        </w:rPr>
        <w:t xml:space="preserve"> </w:t>
      </w:r>
      <w:r w:rsidRPr="00FD5C63">
        <w:rPr>
          <w:rFonts w:ascii="Times New Roman" w:hAnsi="Times New Roman"/>
          <w:sz w:val="24"/>
        </w:rPr>
        <w:t>також повинне бути зазначене у</w:t>
      </w:r>
      <w:r w:rsidRPr="00FD5C63">
        <w:rPr>
          <w:rFonts w:ascii="Times New Roman" w:hAnsi="Times New Roman"/>
          <w:spacing w:val="-6"/>
          <w:sz w:val="24"/>
        </w:rPr>
        <w:t xml:space="preserve"> таблиці Додатка В.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color w:val="000000"/>
          <w:sz w:val="24"/>
        </w:rPr>
      </w:pPr>
      <w:r w:rsidRPr="00FD5C63">
        <w:rPr>
          <w:rFonts w:ascii="Times New Roman" w:hAnsi="Times New Roman"/>
          <w:sz w:val="24"/>
        </w:rPr>
        <w:t>Для кожної навчальної дисципліни або практики встановлюється шифр, який ф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 xml:space="preserve">рмується таким чином. Спочатку вказується номер циклу підготовки (дивись таблиці). Потім через крапку вказується номер навчальної дисципліни або практики, наскрізний для </w:t>
      </w:r>
      <w:r w:rsidRPr="00FD5C63">
        <w:rPr>
          <w:rFonts w:ascii="Times New Roman" w:hAnsi="Times New Roman"/>
          <w:color w:val="000000"/>
          <w:sz w:val="24"/>
        </w:rPr>
        <w:t>даного циклу (ГСЕ 01;… МПН 01; …..ПП .01;…..).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color w:val="000000"/>
          <w:sz w:val="24"/>
        </w:rPr>
        <w:t xml:space="preserve">Назва блоку змістових модулів формулюється так само, як </w:t>
      </w:r>
      <w:r w:rsidRPr="00FD5C63">
        <w:rPr>
          <w:rFonts w:ascii="Times New Roman" w:hAnsi="Times New Roman"/>
          <w:sz w:val="24"/>
        </w:rPr>
        <w:t>назви розділу програм навчальних дисциплін або практик.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Шифри блоків формуються таким чином. Спочатку вказується шифр навчальної дисципліни або практики. Потім через крапку вказується, наскрізний для даної навчальної дисципліни або практики, номер блоку змістових модулів.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У таблиці Додатка В указуються шифри змістових модулів, що входять до даного блоку. Якщо певний змістовий модуль відповідає за формування у студентів декількох </w:t>
      </w:r>
      <w:proofErr w:type="spellStart"/>
      <w:r w:rsidRPr="00FD5C63">
        <w:rPr>
          <w:rFonts w:ascii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hAnsi="Times New Roman"/>
          <w:sz w:val="24"/>
        </w:rPr>
        <w:t>, шифри цього змістового модуля об’єднуються в окрему групу дужками.</w:t>
      </w:r>
    </w:p>
    <w:p w:rsidR="00F32A20" w:rsidRPr="00FD5C63" w:rsidRDefault="00F32A20" w:rsidP="00F32A20">
      <w:pPr>
        <w:tabs>
          <w:tab w:val="left" w:pos="2694"/>
        </w:tabs>
        <w:ind w:left="36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i/>
          <w:sz w:val="24"/>
        </w:rPr>
        <w:t>Примітка. </w:t>
      </w:r>
    </w:p>
    <w:p w:rsidR="00F32A20" w:rsidRPr="00FD5C63" w:rsidRDefault="00F32A20" w:rsidP="00F32A20">
      <w:pPr>
        <w:pStyle w:val="a3"/>
        <w:tabs>
          <w:tab w:val="left" w:pos="1294"/>
          <w:tab w:val="left" w:pos="269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D5C63">
        <w:rPr>
          <w:rFonts w:ascii="Times New Roman" w:hAnsi="Times New Roman"/>
          <w:sz w:val="24"/>
          <w:szCs w:val="24"/>
        </w:rPr>
        <w:lastRenderedPageBreak/>
        <w:t>Формуючи таблиці Додатка В, розробники стандартів мають право обґрунтовано вилучати з циклу гуманітарної та соціально-економічної підготовки навчальні дисци</w:t>
      </w:r>
      <w:r w:rsidRPr="00FD5C63">
        <w:rPr>
          <w:rFonts w:ascii="Times New Roman" w:hAnsi="Times New Roman"/>
          <w:sz w:val="24"/>
          <w:szCs w:val="24"/>
        </w:rPr>
        <w:t>п</w:t>
      </w:r>
      <w:r w:rsidRPr="00FD5C63">
        <w:rPr>
          <w:rFonts w:ascii="Times New Roman" w:hAnsi="Times New Roman"/>
          <w:sz w:val="24"/>
          <w:szCs w:val="24"/>
        </w:rPr>
        <w:t>ліни, що є професійно-орієнтованими, і включати їх до інших відповідних циклів.</w:t>
      </w:r>
    </w:p>
    <w:p w:rsidR="00F32A20" w:rsidRPr="00FD5C63" w:rsidRDefault="00F32A20" w:rsidP="00F32A20">
      <w:pPr>
        <w:pStyle w:val="a7"/>
        <w:tabs>
          <w:tab w:val="left" w:pos="2694"/>
        </w:tabs>
        <w:spacing w:before="0" w:beforeAutospacing="0" w:after="0" w:afterAutospacing="0"/>
        <w:ind w:firstLine="851"/>
        <w:jc w:val="both"/>
      </w:pPr>
      <w:proofErr w:type="spellStart"/>
      <w:r w:rsidRPr="00FD5C63">
        <w:t>.Таблиця</w:t>
      </w:r>
      <w:proofErr w:type="spellEnd"/>
      <w:r w:rsidRPr="00FD5C63">
        <w:rPr>
          <w:rFonts w:eastAsia="Calibri"/>
          <w:bCs/>
          <w:szCs w:val="22"/>
          <w:lang w:eastAsia="en-US"/>
        </w:rPr>
        <w:t xml:space="preserve"> додатка Г створюється на завершальному етапі розробки стандарту в</w:t>
      </w:r>
      <w:r w:rsidRPr="00FD5C63">
        <w:rPr>
          <w:rFonts w:eastAsia="Calibri"/>
          <w:bCs/>
          <w:szCs w:val="22"/>
          <w:lang w:eastAsia="en-US"/>
        </w:rPr>
        <w:t>и</w:t>
      </w:r>
      <w:r w:rsidRPr="00FD5C63">
        <w:rPr>
          <w:rFonts w:eastAsia="Calibri"/>
          <w:bCs/>
          <w:szCs w:val="22"/>
          <w:lang w:eastAsia="en-US"/>
        </w:rPr>
        <w:t xml:space="preserve">щої освіти. </w:t>
      </w:r>
      <w:r w:rsidRPr="00FD5C63">
        <w:t>Навчальний час, що передбачений для засвоєння нормативної частини змісту ОПП, повинен становити 60...65% від загального навчального часу підготовки студентів. У таблиці Додатка Г навчальний час указується у годинах, кредитах та кредитах ЕСТS.</w:t>
      </w:r>
    </w:p>
    <w:p w:rsidR="00F32A20" w:rsidRPr="00FD5C63" w:rsidRDefault="00F32A20" w:rsidP="00F32A20">
      <w:pPr>
        <w:spacing w:before="120"/>
        <w:ind w:right="-143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5C63">
        <w:rPr>
          <w:rFonts w:ascii="Times New Roman" w:hAnsi="Times New Roman"/>
          <w:i/>
          <w:sz w:val="24"/>
          <w:szCs w:val="24"/>
        </w:rPr>
        <w:t>Примітка. </w:t>
      </w:r>
      <w:r w:rsidRPr="00FD5C63">
        <w:rPr>
          <w:rFonts w:ascii="Times New Roman" w:hAnsi="Times New Roman"/>
          <w:sz w:val="24"/>
          <w:szCs w:val="24"/>
        </w:rPr>
        <w:t>Під час формування змісту циклів: гуманітарної та соціально-економічної підгото</w:t>
      </w:r>
      <w:r w:rsidRPr="00FD5C63">
        <w:rPr>
          <w:rFonts w:ascii="Times New Roman" w:hAnsi="Times New Roman"/>
          <w:sz w:val="24"/>
          <w:szCs w:val="24"/>
        </w:rPr>
        <w:t>в</w:t>
      </w:r>
      <w:r w:rsidRPr="00FD5C63">
        <w:rPr>
          <w:rFonts w:ascii="Times New Roman" w:hAnsi="Times New Roman"/>
          <w:sz w:val="24"/>
          <w:szCs w:val="24"/>
        </w:rPr>
        <w:t>ки; математичної, природничо-наукової підготовки; професійної та практичної підготовки в нормативній частині ОПП молодшого спеціаліста або бакалавра у таблицях додатків Б, В, Г обов’язково включаються змістові частини щодо гуманітарної, соціально-економічної та екол</w:t>
      </w:r>
      <w:r w:rsidRPr="00FD5C63">
        <w:rPr>
          <w:rFonts w:ascii="Times New Roman" w:hAnsi="Times New Roman"/>
          <w:sz w:val="24"/>
          <w:szCs w:val="24"/>
        </w:rPr>
        <w:t>о</w:t>
      </w:r>
      <w:r w:rsidRPr="00FD5C63">
        <w:rPr>
          <w:rFonts w:ascii="Times New Roman" w:hAnsi="Times New Roman"/>
          <w:sz w:val="24"/>
          <w:szCs w:val="24"/>
        </w:rPr>
        <w:t>гічної освіти та освіти з безпеки життя і діяльності людини й охорони праці, що надані у дода</w:t>
      </w:r>
      <w:r w:rsidRPr="00FD5C63">
        <w:rPr>
          <w:rFonts w:ascii="Times New Roman" w:hAnsi="Times New Roman"/>
          <w:sz w:val="24"/>
          <w:szCs w:val="24"/>
        </w:rPr>
        <w:t>т</w:t>
      </w:r>
      <w:r w:rsidRPr="00FD5C63">
        <w:rPr>
          <w:rFonts w:ascii="Times New Roman" w:hAnsi="Times New Roman"/>
          <w:sz w:val="24"/>
          <w:szCs w:val="24"/>
        </w:rPr>
        <w:t>ку</w:t>
      </w:r>
      <w:r w:rsidRPr="00FD5C63">
        <w:rPr>
          <w:rFonts w:ascii="Times New Roman" w:hAnsi="Times New Roman"/>
        </w:rPr>
        <w:t xml:space="preserve"> </w:t>
      </w:r>
      <w:r w:rsidRPr="00FD5C63">
        <w:rPr>
          <w:rFonts w:ascii="Times New Roman" w:hAnsi="Times New Roman"/>
          <w:color w:val="000000"/>
          <w:sz w:val="24"/>
          <w:szCs w:val="24"/>
        </w:rPr>
        <w:t xml:space="preserve">до Інструктивного листа Міністерства освіти і науки України від 19.06.2002 №1/9-307 та спільного  наказу МОН України, МЧС України та </w:t>
      </w:r>
      <w:r w:rsidRPr="00FD5C63">
        <w:rPr>
          <w:rFonts w:ascii="Times New Roman" w:hAnsi="Times New Roman"/>
          <w:bCs/>
          <w:color w:val="000000"/>
          <w:sz w:val="24"/>
          <w:szCs w:val="24"/>
        </w:rPr>
        <w:t>Державного комітету України з промислової безпеки, охорони праці та гірничого нагляду</w:t>
      </w:r>
      <w:r w:rsidRPr="00FD5C63">
        <w:rPr>
          <w:rFonts w:ascii="Times New Roman" w:hAnsi="Times New Roman"/>
          <w:color w:val="000000"/>
          <w:sz w:val="24"/>
          <w:szCs w:val="24"/>
        </w:rPr>
        <w:t xml:space="preserve"> від 21.10.2010 р. № 969/922/216).(</w:t>
      </w:r>
      <w:r w:rsidRPr="00FD5C63">
        <w:rPr>
          <w:rFonts w:ascii="Times New Roman" w:hAnsi="Times New Roman"/>
          <w:bCs/>
          <w:color w:val="000000"/>
          <w:sz w:val="24"/>
          <w:szCs w:val="24"/>
        </w:rPr>
        <w:t>Екологія – 54 год. Безпека життєдіяльності – 54 год. Основи охорони праці – 54. Охорона праці в галузі – 36год.).</w:t>
      </w:r>
    </w:p>
    <w:p w:rsidR="00F32A20" w:rsidRPr="00FD5C63" w:rsidRDefault="00F32A20" w:rsidP="00F32A20">
      <w:pPr>
        <w:tabs>
          <w:tab w:val="left" w:pos="0"/>
          <w:tab w:val="left" w:pos="993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ab/>
        <w:t>Дозволяється зменшення , за можливості, кількості спеціальних дисциплін підготовки молодших спеціалістів шляхом об’єднання тих блоків змістових модулів, що мають спільну предметну спрямованість та збільшення практичної підготовки. Дипломне проектування повинно бути зазначено у нормативній частині ОПП за умови державної атестації випускників у вигляді захисту дипломного проекту.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Під час формування ОПП спеціалістів і магістрів у разі необхідності дозволяється об’єднувати нормативні цикли </w:t>
      </w:r>
      <w:r w:rsidRPr="00FD5C63">
        <w:rPr>
          <w:rFonts w:ascii="Times New Roman" w:hAnsi="Times New Roman"/>
          <w:color w:val="000000"/>
          <w:sz w:val="24"/>
        </w:rPr>
        <w:t>гуманітарної та соціально-економічної підготовки, математичної та природничо-наукової підготовки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i/>
          <w:color w:val="000000"/>
          <w:sz w:val="24"/>
        </w:rPr>
      </w:pPr>
      <w:r w:rsidRPr="00FD5C63">
        <w:rPr>
          <w:rFonts w:ascii="Times New Roman" w:hAnsi="Times New Roman"/>
          <w:sz w:val="24"/>
        </w:rPr>
        <w:t>Навчальний час, що передбачений для засвоєння вибіркової частини ОПП, визн</w:t>
      </w:r>
      <w:r w:rsidRPr="00FD5C63">
        <w:rPr>
          <w:rFonts w:ascii="Times New Roman" w:hAnsi="Times New Roman"/>
          <w:sz w:val="24"/>
        </w:rPr>
        <w:t>а</w:t>
      </w:r>
      <w:r w:rsidRPr="00FD5C63">
        <w:rPr>
          <w:rFonts w:ascii="Times New Roman" w:hAnsi="Times New Roman"/>
          <w:sz w:val="24"/>
        </w:rPr>
        <w:t xml:space="preserve">чається як різниця між загальним навчальним часом підготовки та навчальним </w:t>
      </w:r>
      <w:r w:rsidRPr="00FD5C63">
        <w:rPr>
          <w:rFonts w:ascii="Times New Roman" w:hAnsi="Times New Roman"/>
          <w:color w:val="000000"/>
          <w:sz w:val="24"/>
        </w:rPr>
        <w:t xml:space="preserve">часом, що передбачений на засвоєння нормативної частини змісту ОПП. </w:t>
      </w:r>
      <w:r w:rsidRPr="00FD5C63">
        <w:rPr>
          <w:rFonts w:ascii="Times New Roman" w:hAnsi="Times New Roman"/>
          <w:i/>
          <w:color w:val="000000"/>
          <w:sz w:val="24"/>
        </w:rPr>
        <w:t>Вибіркова частина склад</w:t>
      </w:r>
      <w:r w:rsidRPr="00FD5C63">
        <w:rPr>
          <w:rFonts w:ascii="Times New Roman" w:hAnsi="Times New Roman"/>
          <w:i/>
          <w:color w:val="000000"/>
          <w:sz w:val="24"/>
        </w:rPr>
        <w:t>а</w:t>
      </w:r>
      <w:r w:rsidRPr="00FD5C63">
        <w:rPr>
          <w:rFonts w:ascii="Times New Roman" w:hAnsi="Times New Roman"/>
          <w:i/>
          <w:color w:val="000000"/>
          <w:sz w:val="24"/>
        </w:rPr>
        <w:t>ється з частини самостійного вибору навчального закладу та частини вільного вибору ст</w:t>
      </w:r>
      <w:r w:rsidRPr="00FD5C63">
        <w:rPr>
          <w:rFonts w:ascii="Times New Roman" w:hAnsi="Times New Roman"/>
          <w:i/>
          <w:color w:val="000000"/>
          <w:sz w:val="24"/>
        </w:rPr>
        <w:t>у</w:t>
      </w:r>
      <w:r w:rsidRPr="00FD5C63">
        <w:rPr>
          <w:rFonts w:ascii="Times New Roman" w:hAnsi="Times New Roman"/>
          <w:i/>
          <w:color w:val="000000"/>
          <w:sz w:val="24"/>
        </w:rPr>
        <w:t>дентів (окрім ОПП підготовки молодшого спеціаліста).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pacing w:val="-4"/>
          <w:sz w:val="24"/>
        </w:rPr>
      </w:pPr>
      <w:r w:rsidRPr="00FD5C63">
        <w:rPr>
          <w:rFonts w:ascii="Times New Roman" w:hAnsi="Times New Roman"/>
          <w:spacing w:val="-4"/>
          <w:sz w:val="24"/>
        </w:rPr>
        <w:t>Для кожного з циклів підготовки вибіркової частини змісту освітньо-професійної програми в таблиці Додатка Г указується навчальний час у відсотках від загального навчального часу вибіркової частини  у годинах і кр</w:t>
      </w:r>
      <w:r w:rsidRPr="00FD5C63">
        <w:rPr>
          <w:rFonts w:ascii="Times New Roman" w:hAnsi="Times New Roman"/>
          <w:spacing w:val="-4"/>
          <w:sz w:val="24"/>
        </w:rPr>
        <w:t>е</w:t>
      </w:r>
      <w:r w:rsidRPr="00FD5C63">
        <w:rPr>
          <w:rFonts w:ascii="Times New Roman" w:hAnsi="Times New Roman"/>
          <w:spacing w:val="-4"/>
          <w:sz w:val="24"/>
        </w:rPr>
        <w:t>дитах.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Навчальний час, що передбачений для циклу самостійного вибору навчального закладу, не повинен перевищувати 70% навчального часу засвоєння вибіркової частини змісту навчання. 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Навчальний час, що відводиться на практики може бути збільшений за рахунок часу самостійного вибору навчального закладу. </w:t>
      </w: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F32A20" w:rsidRPr="00FD5C63" w:rsidRDefault="00F32A20" w:rsidP="00F32A20">
      <w:pPr>
        <w:tabs>
          <w:tab w:val="left" w:pos="2694"/>
        </w:tabs>
        <w:jc w:val="both"/>
        <w:rPr>
          <w:rFonts w:ascii="Times New Roman" w:hAnsi="Times New Roman"/>
          <w:b/>
          <w:color w:val="000000"/>
          <w:sz w:val="24"/>
        </w:rPr>
      </w:pPr>
      <w:r w:rsidRPr="00FD5C63">
        <w:rPr>
          <w:rFonts w:ascii="Times New Roman" w:hAnsi="Times New Roman"/>
          <w:b/>
          <w:color w:val="000000"/>
          <w:sz w:val="24"/>
        </w:rPr>
        <w:t>7. Державна атестація осіб, які навчаються у вищих навчальних закладах</w:t>
      </w:r>
    </w:p>
    <w:p w:rsidR="00F32A20" w:rsidRPr="00FD5C63" w:rsidRDefault="00F32A20" w:rsidP="00F32A20">
      <w:pPr>
        <w:shd w:val="clear" w:color="auto" w:fill="FFFFFF"/>
        <w:ind w:right="24" w:firstLine="851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color w:val="000000"/>
          <w:sz w:val="24"/>
        </w:rPr>
        <w:t>Нормативні форми державної атестації студента встановлюються залежно від</w:t>
      </w:r>
      <w:r w:rsidRPr="00FD5C63">
        <w:rPr>
          <w:rFonts w:ascii="Times New Roman" w:hAnsi="Times New Roman"/>
          <w:sz w:val="24"/>
        </w:rPr>
        <w:t xml:space="preserve"> напряму підготовки та спеціальності у вигляді:</w:t>
      </w:r>
    </w:p>
    <w:p w:rsidR="00F32A20" w:rsidRPr="00FD5C63" w:rsidRDefault="00F32A20" w:rsidP="00F32A2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60" w:right="10" w:hanging="36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для молодших</w:t>
      </w:r>
      <w:r>
        <w:rPr>
          <w:rFonts w:ascii="Times New Roman" w:hAnsi="Times New Roman"/>
          <w:sz w:val="24"/>
        </w:rPr>
        <w:t xml:space="preserve"> спеціалістів: захист дипломного</w:t>
      </w:r>
      <w:r w:rsidRPr="00FD5C63">
        <w:rPr>
          <w:rFonts w:ascii="Times New Roman" w:hAnsi="Times New Roman"/>
          <w:sz w:val="24"/>
        </w:rPr>
        <w:t xml:space="preserve"> проекту (</w:t>
      </w:r>
      <w:r>
        <w:rPr>
          <w:rFonts w:ascii="Times New Roman" w:hAnsi="Times New Roman"/>
          <w:sz w:val="24"/>
        </w:rPr>
        <w:t xml:space="preserve">дипломної </w:t>
      </w:r>
      <w:r w:rsidRPr="00FD5C63">
        <w:rPr>
          <w:rFonts w:ascii="Times New Roman" w:hAnsi="Times New Roman"/>
          <w:sz w:val="24"/>
        </w:rPr>
        <w:t>роботи) або скл</w:t>
      </w:r>
      <w:r w:rsidRPr="00FD5C63">
        <w:rPr>
          <w:rFonts w:ascii="Times New Roman" w:hAnsi="Times New Roman"/>
          <w:sz w:val="24"/>
        </w:rPr>
        <w:t>а</w:t>
      </w:r>
      <w:r w:rsidRPr="00FD5C63">
        <w:rPr>
          <w:rFonts w:ascii="Times New Roman" w:hAnsi="Times New Roman"/>
          <w:sz w:val="24"/>
        </w:rPr>
        <w:t xml:space="preserve">дання тестового державного екзамену (екзаменів) або комплексного </w:t>
      </w:r>
      <w:r>
        <w:rPr>
          <w:rFonts w:ascii="Times New Roman" w:hAnsi="Times New Roman"/>
          <w:sz w:val="24"/>
        </w:rPr>
        <w:t xml:space="preserve">державного </w:t>
      </w:r>
      <w:r w:rsidRPr="00FD5C63">
        <w:rPr>
          <w:rFonts w:ascii="Times New Roman" w:hAnsi="Times New Roman"/>
          <w:sz w:val="24"/>
        </w:rPr>
        <w:t>екзамену;</w:t>
      </w:r>
    </w:p>
    <w:p w:rsidR="00F32A20" w:rsidRPr="00FD5C63" w:rsidRDefault="00F32A20" w:rsidP="00F32A2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60" w:right="10" w:hanging="36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для бакалаврів: складання державного екзамену(</w:t>
      </w:r>
      <w:proofErr w:type="spellStart"/>
      <w:r w:rsidRPr="00FD5C63">
        <w:rPr>
          <w:rFonts w:ascii="Times New Roman" w:hAnsi="Times New Roman"/>
          <w:sz w:val="24"/>
        </w:rPr>
        <w:t>-ів</w:t>
      </w:r>
      <w:proofErr w:type="spellEnd"/>
      <w:r w:rsidRPr="00FD5C63">
        <w:rPr>
          <w:rFonts w:ascii="Times New Roman" w:hAnsi="Times New Roman"/>
          <w:sz w:val="24"/>
        </w:rPr>
        <w:t>) (тестового, комплексного тощо) або поєднання екзамену із захистом випускної роботи;</w:t>
      </w:r>
    </w:p>
    <w:p w:rsidR="00F32A20" w:rsidRPr="00FD5C63" w:rsidRDefault="00F32A20" w:rsidP="00F32A2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60" w:right="10" w:hanging="36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для магістрів: захист магістерської випускної роботи або поєднання складання держ</w:t>
      </w:r>
      <w:r w:rsidRPr="00FD5C63">
        <w:rPr>
          <w:rFonts w:ascii="Times New Roman" w:hAnsi="Times New Roman"/>
          <w:sz w:val="24"/>
        </w:rPr>
        <w:t>а</w:t>
      </w:r>
      <w:r w:rsidRPr="00FD5C63">
        <w:rPr>
          <w:rFonts w:ascii="Times New Roman" w:hAnsi="Times New Roman"/>
          <w:sz w:val="24"/>
        </w:rPr>
        <w:t>вного екзамену (екзаменів) та захисту магістерської випускної роботи.</w:t>
      </w:r>
    </w:p>
    <w:p w:rsidR="00F32A20" w:rsidRPr="00FD5C63" w:rsidRDefault="00F32A20" w:rsidP="00F32A20">
      <w:pPr>
        <w:pStyle w:val="2"/>
        <w:tabs>
          <w:tab w:val="left" w:pos="2694"/>
        </w:tabs>
        <w:ind w:firstLine="851"/>
        <w:rPr>
          <w:sz w:val="24"/>
        </w:rPr>
      </w:pPr>
      <w:r w:rsidRPr="00FD5C63">
        <w:rPr>
          <w:sz w:val="24"/>
        </w:rPr>
        <w:lastRenderedPageBreak/>
        <w:t>На державну атестацію осіб, які навчаються у вищих навчальних закладах, вин</w:t>
      </w:r>
      <w:r w:rsidRPr="00FD5C63">
        <w:rPr>
          <w:sz w:val="24"/>
        </w:rPr>
        <w:t>о</w:t>
      </w:r>
      <w:r w:rsidRPr="00FD5C63">
        <w:rPr>
          <w:sz w:val="24"/>
        </w:rPr>
        <w:t xml:space="preserve">сяться система </w:t>
      </w:r>
      <w:proofErr w:type="spellStart"/>
      <w:r w:rsidRPr="00FD5C63">
        <w:rPr>
          <w:sz w:val="24"/>
        </w:rPr>
        <w:t>компетенцій</w:t>
      </w:r>
      <w:proofErr w:type="spellEnd"/>
      <w:r w:rsidRPr="00FD5C63">
        <w:rPr>
          <w:sz w:val="24"/>
        </w:rPr>
        <w:t>, що визначена в освітньо-кваліфікаційній характеристиці, та відповідні блоки змістових модулів, що складають нормативну частину змісту освітньо-професійної програми підготовки фахівця (Додаток Д).</w:t>
      </w:r>
    </w:p>
    <w:p w:rsidR="00F32A20" w:rsidRPr="00FD5C63" w:rsidRDefault="00F32A20" w:rsidP="00F32A20">
      <w:pPr>
        <w:pStyle w:val="Iauiue"/>
        <w:tabs>
          <w:tab w:val="left" w:pos="709"/>
        </w:tabs>
        <w:ind w:firstLine="851"/>
        <w:jc w:val="both"/>
        <w:rPr>
          <w:sz w:val="24"/>
          <w:lang w:val="uk-UA"/>
        </w:rPr>
      </w:pPr>
      <w:r w:rsidRPr="00FD5C63">
        <w:rPr>
          <w:sz w:val="24"/>
          <w:lang w:val="uk-UA"/>
        </w:rPr>
        <w:t>Дипломна робота передбачає проведення аналізу та теоретичної розробки (мод</w:t>
      </w:r>
      <w:r w:rsidRPr="00FD5C63">
        <w:rPr>
          <w:sz w:val="24"/>
          <w:lang w:val="uk-UA"/>
        </w:rPr>
        <w:t>е</w:t>
      </w:r>
      <w:r w:rsidRPr="00FD5C63">
        <w:rPr>
          <w:sz w:val="24"/>
          <w:lang w:val="uk-UA"/>
        </w:rPr>
        <w:t>лювання та дослідження процесів і об’єктів) актуальних питань, проблем у відповідній галузі знань. Для інженерних напрямів підготовки дипломна робота повинна мати хара</w:t>
      </w:r>
      <w:r w:rsidRPr="00FD5C63">
        <w:rPr>
          <w:sz w:val="24"/>
          <w:lang w:val="uk-UA"/>
        </w:rPr>
        <w:t>к</w:t>
      </w:r>
      <w:r w:rsidRPr="00FD5C63">
        <w:rPr>
          <w:sz w:val="24"/>
          <w:lang w:val="uk-UA"/>
        </w:rPr>
        <w:t>тер прикладного наукового дослідження об’єкта діяльності.</w:t>
      </w:r>
    </w:p>
    <w:p w:rsidR="00F32A20" w:rsidRPr="00FD5C63" w:rsidRDefault="00F32A20" w:rsidP="00F32A20">
      <w:pPr>
        <w:pStyle w:val="Iauiue"/>
        <w:tabs>
          <w:tab w:val="left" w:pos="709"/>
        </w:tabs>
        <w:ind w:firstLine="851"/>
        <w:jc w:val="both"/>
        <w:rPr>
          <w:sz w:val="24"/>
          <w:lang w:val="uk-UA"/>
        </w:rPr>
      </w:pPr>
      <w:r w:rsidRPr="00FD5C63">
        <w:rPr>
          <w:sz w:val="24"/>
          <w:lang w:val="uk-UA"/>
        </w:rPr>
        <w:t>Дипломні проекти, як правило, виконуються за інженерними напрямами підгот</w:t>
      </w:r>
      <w:r w:rsidRPr="00FD5C63">
        <w:rPr>
          <w:sz w:val="24"/>
          <w:lang w:val="uk-UA"/>
        </w:rPr>
        <w:t>о</w:t>
      </w:r>
      <w:r w:rsidRPr="00FD5C63">
        <w:rPr>
          <w:sz w:val="24"/>
          <w:lang w:val="uk-UA"/>
        </w:rPr>
        <w:t>вки і передбачають синтез об’єкта (фізичного або ідеального) проектування (системи в широкому значенні, пристрою, технологічного процесу, комп’ютерної програми тощо), який оптимально відповідає вимогам завдання на кваліфікаційну роботу.</w:t>
      </w:r>
    </w:p>
    <w:p w:rsidR="00F32A20" w:rsidRPr="00FD5C63" w:rsidRDefault="00F32A20" w:rsidP="00F32A20">
      <w:pPr>
        <w:pStyle w:val="Iauiue"/>
        <w:tabs>
          <w:tab w:val="left" w:pos="2410"/>
        </w:tabs>
        <w:ind w:firstLine="851"/>
        <w:jc w:val="both"/>
        <w:rPr>
          <w:sz w:val="24"/>
          <w:lang w:val="uk-UA"/>
        </w:rPr>
      </w:pPr>
      <w:r w:rsidRPr="00FD5C63">
        <w:rPr>
          <w:sz w:val="24"/>
          <w:lang w:val="uk-UA"/>
        </w:rPr>
        <w:t>Державний (тестовий, комплексний) екзамен визначається за неможливості  встановлення рівня сфо</w:t>
      </w:r>
      <w:r w:rsidRPr="00FD5C63">
        <w:rPr>
          <w:sz w:val="24"/>
          <w:lang w:val="uk-UA"/>
        </w:rPr>
        <w:t>р</w:t>
      </w:r>
      <w:r w:rsidRPr="00FD5C63">
        <w:rPr>
          <w:sz w:val="24"/>
          <w:lang w:val="uk-UA"/>
        </w:rPr>
        <w:t xml:space="preserve">мованості певних </w:t>
      </w:r>
      <w:proofErr w:type="spellStart"/>
      <w:r w:rsidRPr="00FD5C63">
        <w:rPr>
          <w:sz w:val="24"/>
          <w:lang w:val="uk-UA"/>
        </w:rPr>
        <w:t>компетенцій</w:t>
      </w:r>
      <w:proofErr w:type="spellEnd"/>
      <w:r w:rsidRPr="00FD5C63">
        <w:rPr>
          <w:sz w:val="24"/>
          <w:lang w:val="uk-UA"/>
        </w:rPr>
        <w:t xml:space="preserve"> у разі захисту випускної роботи.</w:t>
      </w:r>
    </w:p>
    <w:p w:rsidR="00F32A20" w:rsidRPr="00FD5C63" w:rsidRDefault="00F32A20" w:rsidP="00F32A20">
      <w:pPr>
        <w:pStyle w:val="Iauiue"/>
        <w:tabs>
          <w:tab w:val="left" w:pos="2410"/>
        </w:tabs>
        <w:jc w:val="both"/>
        <w:rPr>
          <w:sz w:val="24"/>
          <w:lang w:val="uk-UA"/>
        </w:rPr>
      </w:pPr>
      <w:r w:rsidRPr="00FD5C63">
        <w:rPr>
          <w:sz w:val="24"/>
          <w:lang w:val="uk-UA"/>
        </w:rPr>
        <w:t xml:space="preserve">У цьому випадку рівень сформованості </w:t>
      </w:r>
      <w:proofErr w:type="spellStart"/>
      <w:r w:rsidRPr="00FD5C63">
        <w:rPr>
          <w:sz w:val="24"/>
          <w:lang w:val="uk-UA"/>
        </w:rPr>
        <w:t>компетенцій</w:t>
      </w:r>
      <w:proofErr w:type="spellEnd"/>
      <w:r w:rsidRPr="00FD5C63">
        <w:rPr>
          <w:sz w:val="24"/>
          <w:lang w:val="uk-UA"/>
        </w:rPr>
        <w:t xml:space="preserve"> встановлюється опосередковано за д</w:t>
      </w:r>
      <w:r w:rsidRPr="00FD5C63">
        <w:rPr>
          <w:sz w:val="24"/>
          <w:lang w:val="uk-UA"/>
        </w:rPr>
        <w:t>о</w:t>
      </w:r>
      <w:r w:rsidRPr="00FD5C63">
        <w:rPr>
          <w:sz w:val="24"/>
          <w:lang w:val="uk-UA"/>
        </w:rPr>
        <w:t xml:space="preserve">помогою </w:t>
      </w:r>
      <w:proofErr w:type="spellStart"/>
      <w:r w:rsidRPr="00FD5C63">
        <w:rPr>
          <w:sz w:val="24"/>
          <w:lang w:val="uk-UA"/>
        </w:rPr>
        <w:t>критеріально</w:t>
      </w:r>
      <w:proofErr w:type="spellEnd"/>
      <w:r w:rsidRPr="00FD5C63">
        <w:rPr>
          <w:sz w:val="24"/>
          <w:lang w:val="uk-UA"/>
        </w:rPr>
        <w:t xml:space="preserve"> орієнтованих тестів досягнень.</w:t>
      </w:r>
    </w:p>
    <w:p w:rsidR="00F32A20" w:rsidRPr="00FD5C63" w:rsidRDefault="00F32A20" w:rsidP="00F32A20">
      <w:pPr>
        <w:pStyle w:val="Iauiue"/>
        <w:tabs>
          <w:tab w:val="left" w:pos="2410"/>
        </w:tabs>
        <w:ind w:firstLine="851"/>
        <w:jc w:val="both"/>
        <w:rPr>
          <w:sz w:val="24"/>
          <w:lang w:val="uk-UA"/>
        </w:rPr>
      </w:pPr>
    </w:p>
    <w:p w:rsidR="00F32A20" w:rsidRPr="00FD5C63" w:rsidRDefault="00F32A20" w:rsidP="00F32A20">
      <w:pPr>
        <w:pStyle w:val="2"/>
        <w:tabs>
          <w:tab w:val="left" w:pos="2694"/>
        </w:tabs>
        <w:ind w:firstLine="0"/>
        <w:rPr>
          <w:b/>
          <w:sz w:val="24"/>
        </w:rPr>
      </w:pPr>
      <w:r w:rsidRPr="00FD5C63">
        <w:rPr>
          <w:b/>
          <w:sz w:val="24"/>
        </w:rPr>
        <w:t>8. Вимоги до системи освіти та професійної підготовки</w:t>
      </w:r>
    </w:p>
    <w:p w:rsidR="00F32A20" w:rsidRPr="00FD5C63" w:rsidRDefault="00F32A20" w:rsidP="00F32A20">
      <w:pPr>
        <w:tabs>
          <w:tab w:val="left" w:pos="269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D5C63">
        <w:rPr>
          <w:rFonts w:ascii="Times New Roman" w:hAnsi="Times New Roman"/>
        </w:rPr>
        <w:t>(</w:t>
      </w:r>
      <w:r w:rsidRPr="00FD5C63">
        <w:rPr>
          <w:rFonts w:ascii="Times New Roman" w:hAnsi="Times New Roman"/>
          <w:sz w:val="24"/>
          <w:szCs w:val="24"/>
        </w:rPr>
        <w:t>У цьому розділі обов’язково наводяться вимоги до кваліфікації викладацького складу, який бере участь у викладанні навчальних дисциплін нормативної частини змісту навчання (у тому числі вимоги до фаху за дипломом про вищу освіту, до наукової спеціальності за дипломом про отримання наукового ступеня, за якою отримано д</w:t>
      </w:r>
      <w:r w:rsidRPr="00FD5C63">
        <w:rPr>
          <w:rFonts w:ascii="Times New Roman" w:hAnsi="Times New Roman"/>
          <w:sz w:val="24"/>
          <w:szCs w:val="24"/>
        </w:rPr>
        <w:t>и</w:t>
      </w:r>
      <w:r w:rsidRPr="00FD5C63">
        <w:rPr>
          <w:rFonts w:ascii="Times New Roman" w:hAnsi="Times New Roman"/>
          <w:sz w:val="24"/>
          <w:szCs w:val="24"/>
        </w:rPr>
        <w:t>плом про вчене звання, до професійної підготовки за сертифікатом або свідоцтвом про п</w:t>
      </w:r>
      <w:r w:rsidRPr="00FD5C63">
        <w:rPr>
          <w:rFonts w:ascii="Times New Roman" w:hAnsi="Times New Roman"/>
          <w:sz w:val="24"/>
          <w:szCs w:val="24"/>
        </w:rPr>
        <w:t>і</w:t>
      </w:r>
      <w:r w:rsidRPr="00FD5C63">
        <w:rPr>
          <w:rFonts w:ascii="Times New Roman" w:hAnsi="Times New Roman"/>
          <w:sz w:val="24"/>
          <w:szCs w:val="24"/>
        </w:rPr>
        <w:t>слядипломну освіту, або підвищення кваліфікації, до стажу попередньої практичної, наукової та педагогічної діяльно</w:t>
      </w:r>
      <w:r w:rsidRPr="00FD5C63">
        <w:rPr>
          <w:rFonts w:ascii="Times New Roman" w:hAnsi="Times New Roman"/>
          <w:sz w:val="24"/>
          <w:szCs w:val="24"/>
        </w:rPr>
        <w:t>с</w:t>
      </w:r>
      <w:r w:rsidRPr="00FD5C63">
        <w:rPr>
          <w:rFonts w:ascii="Times New Roman" w:hAnsi="Times New Roman"/>
          <w:sz w:val="24"/>
          <w:szCs w:val="24"/>
        </w:rPr>
        <w:t>ті).</w:t>
      </w:r>
    </w:p>
    <w:p w:rsidR="00683E16" w:rsidRDefault="00683E16"/>
    <w:sectPr w:rsidR="00683E16" w:rsidSect="006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296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A20"/>
    <w:rsid w:val="0035678C"/>
    <w:rsid w:val="00587C7A"/>
    <w:rsid w:val="00683E16"/>
    <w:rsid w:val="00B139DC"/>
    <w:rsid w:val="00F3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2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1 Знак Знак Знак Знак Знак Знак Знак"/>
    <w:basedOn w:val="a"/>
    <w:rsid w:val="00F32A20"/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semiHidden/>
    <w:rsid w:val="00F32A20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2A2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3">
    <w:name w:val="Body Text Indent"/>
    <w:basedOn w:val="a"/>
    <w:link w:val="a4"/>
    <w:unhideWhenUsed/>
    <w:rsid w:val="00F32A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2A20"/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semiHidden/>
    <w:unhideWhenUsed/>
    <w:rsid w:val="00F32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32A20"/>
    <w:rPr>
      <w:rFonts w:ascii="Calibri" w:eastAsia="Calibri" w:hAnsi="Calibri" w:cs="Times New Roman"/>
      <w:lang w:val="uk-UA"/>
    </w:rPr>
  </w:style>
  <w:style w:type="paragraph" w:customStyle="1" w:styleId="Iauiue">
    <w:name w:val="Iau?iue"/>
    <w:rsid w:val="00F32A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F32A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link w:val="Normal10"/>
    <w:rsid w:val="00F32A20"/>
    <w:pPr>
      <w:autoSpaceDE w:val="0"/>
      <w:autoSpaceDN w:val="0"/>
      <w:spacing w:after="0" w:line="240" w:lineRule="auto"/>
      <w:jc w:val="both"/>
    </w:pPr>
    <w:rPr>
      <w:rFonts w:ascii="1251 Times" w:eastAsia="Times New Roman" w:hAnsi="1251 Times" w:cs="Times New Roman"/>
      <w:sz w:val="24"/>
      <w:szCs w:val="24"/>
      <w:lang w:val="uk-UA" w:eastAsia="ru-RU"/>
    </w:rPr>
  </w:style>
  <w:style w:type="paragraph" w:customStyle="1" w:styleId="BodyText2">
    <w:name w:val="Body Text 2"/>
    <w:basedOn w:val="a"/>
    <w:rsid w:val="00F32A20"/>
    <w:pPr>
      <w:spacing w:after="3720" w:line="360" w:lineRule="auto"/>
      <w:jc w:val="center"/>
    </w:pPr>
    <w:rPr>
      <w:rFonts w:ascii="1251 Times" w:eastAsia="Times New Roman" w:hAnsi="1251 Times"/>
      <w:b/>
      <w:sz w:val="40"/>
      <w:szCs w:val="20"/>
      <w:lang w:eastAsia="ru-RU"/>
    </w:rPr>
  </w:style>
  <w:style w:type="character" w:customStyle="1" w:styleId="Normal10">
    <w:name w:val="Normal1 Знак"/>
    <w:basedOn w:val="a0"/>
    <w:link w:val="Normal1"/>
    <w:rsid w:val="00F32A20"/>
    <w:rPr>
      <w:rFonts w:ascii="1251 Times" w:eastAsia="Times New Roman" w:hAnsi="1251 Times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2442</Words>
  <Characters>13923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2013-12-06T13:02:00Z</dcterms:created>
  <dcterms:modified xsi:type="dcterms:W3CDTF">2013-12-06T13:02:00Z</dcterms:modified>
</cp:coreProperties>
</file>