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2" w:rsidRDefault="00352F72" w:rsidP="00352F72">
      <w:pPr>
        <w:rPr>
          <w:rFonts w:ascii="Times New Roman" w:eastAsia="Calibri" w:hAnsi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/>
          <w:b/>
          <w:sz w:val="26"/>
          <w:szCs w:val="26"/>
          <w:lang w:val="uk-UA"/>
        </w:rPr>
        <w:t>3.1.4. Державна політика України стосовно реалізації проекту, аналіз застосування законодавчої на нормативної бази, включаючи технічні норми та стандарти</w:t>
      </w:r>
    </w:p>
    <w:p w:rsidR="00352F72" w:rsidRDefault="00352F72" w:rsidP="00352F72">
      <w:pPr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E42271">
        <w:rPr>
          <w:rFonts w:ascii="Times New Roman" w:eastAsia="Calibri" w:hAnsi="Times New Roman"/>
          <w:b/>
          <w:sz w:val="26"/>
          <w:szCs w:val="26"/>
          <w:lang w:val="uk-UA"/>
        </w:rPr>
        <w:t>http://search.ligazakon.ua/l_doc2.nsf/link1/JF7FQ00A.html</w:t>
      </w:r>
    </w:p>
    <w:p w:rsidR="00352F72" w:rsidRDefault="00352F72" w:rsidP="00352F72">
      <w:pPr>
        <w:rPr>
          <w:rFonts w:ascii="Times New Roman" w:hAnsi="Times New Roman"/>
          <w:color w:val="000000"/>
          <w:sz w:val="26"/>
          <w:szCs w:val="26"/>
          <w:lang w:val="uk-UA"/>
        </w:rPr>
      </w:pPr>
      <w:r w:rsidRPr="002B66F2">
        <w:rPr>
          <w:rFonts w:ascii="Times New Roman" w:eastAsia="Calibri" w:hAnsi="Times New Roman"/>
          <w:sz w:val="26"/>
          <w:szCs w:val="26"/>
          <w:lang w:val="uk-UA"/>
        </w:rPr>
        <w:t>В Україні на сьогодні відсутня нормативно-правова база, що регламентує чіткий порядок створення саме «розумних міст».</w:t>
      </w:r>
    </w:p>
    <w:p w:rsidR="00352F72" w:rsidRPr="002B66F2" w:rsidRDefault="00352F72" w:rsidP="00352F72">
      <w:pPr>
        <w:pStyle w:val="rtejustify"/>
        <w:spacing w:line="360" w:lineRule="auto"/>
        <w:contextualSpacing/>
        <w:rPr>
          <w:sz w:val="26"/>
          <w:szCs w:val="26"/>
          <w:lang w:val="uk-UA"/>
        </w:rPr>
      </w:pPr>
      <w:r w:rsidRPr="002B66F2">
        <w:rPr>
          <w:color w:val="000000"/>
          <w:sz w:val="26"/>
          <w:szCs w:val="26"/>
          <w:lang w:val="uk-UA"/>
        </w:rPr>
        <w:t xml:space="preserve">Але  </w:t>
      </w:r>
      <w:r>
        <w:rPr>
          <w:color w:val="000000"/>
          <w:sz w:val="26"/>
          <w:szCs w:val="26"/>
          <w:lang w:val="uk-UA"/>
        </w:rPr>
        <w:t>п</w:t>
      </w:r>
      <w:r w:rsidRPr="002B66F2">
        <w:rPr>
          <w:sz w:val="26"/>
          <w:szCs w:val="26"/>
          <w:lang w:val="uk-UA"/>
        </w:rPr>
        <w:t>ід час засідання Комітету з економічних реформ</w:t>
      </w:r>
      <w:r>
        <w:rPr>
          <w:sz w:val="26"/>
          <w:szCs w:val="26"/>
          <w:lang w:val="uk-UA"/>
        </w:rPr>
        <w:t xml:space="preserve"> від</w:t>
      </w:r>
      <w:r w:rsidRPr="002B66F2">
        <w:rPr>
          <w:sz w:val="26"/>
          <w:szCs w:val="26"/>
          <w:lang w:val="uk-UA"/>
        </w:rPr>
        <w:t xml:space="preserve"> 25 серпня 2010 року «Національними проектами» були визначені проекти, реалізація яких матиме визначний вплив на соціально-економічний розвиток країни, покращення якості життя громадян і підвищення рівня національної безпеки.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Затверджено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наступні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Національних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проектів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- нова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енергія</w:t>
      </w:r>
      <w:proofErr w:type="spellEnd"/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нова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якість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життя</w:t>
      </w:r>
      <w:proofErr w:type="spellEnd"/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- нова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інфраструктура</w:t>
      </w:r>
      <w:proofErr w:type="spellEnd"/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олімпійська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над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– 2022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агроперспектива</w:t>
      </w:r>
      <w:proofErr w:type="spellEnd"/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ід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час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засідання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Комітету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економічних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реформ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було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також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схвалено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концепції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наступних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Національних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проектів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«НОВА ЕНЕРГІЯ»: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«LNG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Україна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постачання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скрапленогогазув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Україну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Енергія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природи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будівництво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комплексу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вітрових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,с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онячних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малих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гідроелектростанцій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виробництво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твердого альтернативного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палива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«НОВА ЯКІСТЬ ЖИТТЯ»: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Доступне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житло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система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проектів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комплексного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будівництва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доступного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житла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Нове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життя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- нова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якість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охорони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материнства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дитинства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Чисте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місто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системакомплексівз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переробки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твердих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побутових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відході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Якісна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вода»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забезпечення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населення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України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якісною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питною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водою;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Відкритий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св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іт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інформаційно-комунікаційної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освітньої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мережі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національного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рівняна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базі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технологій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радіозв’язку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четвертого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покоління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(4G);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Місто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майбутнього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формування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стратегічного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плану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системи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проектів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розвитку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міста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Вчасна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допомога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утворенняєдиних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регіональних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оперативно-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диспетчерських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служб з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використанням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сучасних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GPS-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технологій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для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зменшення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часу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прибуття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бригад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швидкої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медичної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допомогидо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пацієнта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«НОВА ІНФРАСТРУКТУРА»: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Повітряний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експрес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залізничне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пасажирське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сполучення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м.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Київ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міжнародний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аеропорт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"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Бориспіль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" і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будівництво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інших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об'єктів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Київського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регіону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Дунайський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регіон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розвиток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транспортного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сполучення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судноплавства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дунайському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регіоні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Індустріальні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парки»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промислово-виробничої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Технополіс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інноваційного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розвитку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високих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технологій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«ОЛІМПІЙСЬКА НАДІЯ 2022»: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спортивно-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туристичної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інфраструктури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В рамках </w:t>
      </w:r>
      <w:proofErr w:type="spellStart"/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пр</w:t>
      </w:r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іоритету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«АГРОПЕРСПЕКТИВА»: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 xml:space="preserve">«Зерно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України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програма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розвитку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зерновиробництва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високими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виробничими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економічними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показниками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Відроджене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скотарство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розроблення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зерновиробництва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з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високими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виробничими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економічними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показниками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>;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Зелені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ринки» -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створення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мережі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регіональних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оптових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продовольчих</w:t>
      </w:r>
      <w:proofErr w:type="spellEnd"/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t>ринкі</w:t>
      </w:r>
      <w:proofErr w:type="gramStart"/>
      <w:r w:rsidRPr="002B66F2">
        <w:rPr>
          <w:rFonts w:ascii="Times New Roman" w:hAnsi="Times New Roman"/>
          <w:sz w:val="26"/>
          <w:szCs w:val="26"/>
          <w:lang w:eastAsia="ru-RU"/>
        </w:rPr>
        <w:t>в</w:t>
      </w:r>
      <w:proofErr w:type="spellEnd"/>
      <w:proofErr w:type="gramEnd"/>
      <w:r w:rsidRPr="002B66F2">
        <w:rPr>
          <w:rFonts w:ascii="Times New Roman" w:hAnsi="Times New Roman"/>
          <w:sz w:val="26"/>
          <w:szCs w:val="26"/>
          <w:lang w:eastAsia="ru-RU"/>
        </w:rPr>
        <w:t>.</w:t>
      </w:r>
    </w:p>
    <w:p w:rsidR="00352F72" w:rsidRPr="002B66F2" w:rsidRDefault="00352F72" w:rsidP="00352F72">
      <w:pPr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hyperlink r:id="rId5" w:tgtFrame="_blank" w:history="1"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Протокольне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proofErr w:type="gram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р</w:t>
        </w:r>
        <w:proofErr w:type="gram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ішення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25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серпня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2010 року за результатами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засідання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Комітету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з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економічних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реформ -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Офiцiйне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представництво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Президента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України</w:t>
        </w:r>
        <w:proofErr w:type="spellEnd"/>
      </w:hyperlink>
    </w:p>
    <w:p w:rsidR="00352F72" w:rsidRPr="002B66F2" w:rsidRDefault="00352F72" w:rsidP="00352F72">
      <w:pPr>
        <w:spacing w:before="100" w:beforeAutospacing="1" w:after="100" w:afterAutospacing="1"/>
        <w:ind w:firstLine="0"/>
        <w:contextualSpacing/>
        <w:rPr>
          <w:rFonts w:ascii="Times New Roman" w:hAnsi="Times New Roman"/>
          <w:sz w:val="26"/>
          <w:szCs w:val="26"/>
          <w:lang w:eastAsia="ru-RU"/>
        </w:rPr>
      </w:pPr>
      <w:hyperlink r:id="rId6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ПОСТАНОВА</w:t>
        </w:r>
      </w:hyperlink>
      <w:r w:rsidRPr="002B66F2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КАБІНЕТУ МІНІ</w:t>
        </w:r>
        <w:proofErr w:type="gram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СТР</w:t>
        </w:r>
        <w:proofErr w:type="gram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ІВ УКРАЇНИ</w:t>
        </w:r>
      </w:hyperlink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  <w:proofErr w:type="spellStart"/>
      <w:r w:rsidRPr="002B66F2">
        <w:rPr>
          <w:rFonts w:ascii="Times New Roman" w:hAnsi="Times New Roman"/>
          <w:sz w:val="26"/>
          <w:szCs w:val="26"/>
          <w:lang w:eastAsia="ru-RU"/>
        </w:rPr>
        <w:fldChar w:fldCharType="begin"/>
      </w:r>
      <w:r w:rsidRPr="002B66F2">
        <w:rPr>
          <w:rFonts w:ascii="Times New Roman" w:hAnsi="Times New Roman"/>
          <w:sz w:val="26"/>
          <w:szCs w:val="26"/>
          <w:lang w:eastAsia="ru-RU"/>
        </w:rPr>
        <w:instrText xml:space="preserve"> HYPERLINK "http://zakon.rada.gov.ua/cgi-bin/laws/main.cgi?nreg=1256-2010-%EF&amp;p=1315140218494452" </w:instrText>
      </w:r>
      <w:r w:rsidRPr="002B66F2">
        <w:rPr>
          <w:rFonts w:ascii="Times New Roman" w:hAnsi="Times New Roman"/>
          <w:sz w:val="26"/>
          <w:szCs w:val="26"/>
          <w:lang w:eastAsia="ru-RU"/>
        </w:rPr>
        <w:fldChar w:fldCharType="separate"/>
      </w:r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від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8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грудня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2010 р. N 1256 Про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затвердження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переліку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проектів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із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пріоритетних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напрямів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соціально-економічного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lastRenderedPageBreak/>
        <w:t xml:space="preserve">та культурного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розвитку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(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національні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проекти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), {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Із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змінами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,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внесеними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згідно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з </w:t>
      </w:r>
      <w:proofErr w:type="spellStart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>Постановою</w:t>
      </w:r>
      <w:proofErr w:type="spellEnd"/>
      <w:r w:rsidRPr="002B66F2">
        <w:rPr>
          <w:rFonts w:ascii="Times New Roman" w:hAnsi="Times New Roman"/>
          <w:color w:val="0000FF"/>
          <w:sz w:val="26"/>
          <w:szCs w:val="26"/>
          <w:u w:val="single"/>
          <w:lang w:eastAsia="ru-RU"/>
        </w:rPr>
        <w:t xml:space="preserve"> КМ N 335 ( </w:t>
      </w:r>
      <w:r w:rsidRPr="002B66F2">
        <w:rPr>
          <w:rFonts w:ascii="Times New Roman" w:hAnsi="Times New Roman"/>
          <w:sz w:val="26"/>
          <w:szCs w:val="26"/>
          <w:lang w:eastAsia="ru-RU"/>
        </w:rPr>
        <w:fldChar w:fldCharType="end"/>
      </w:r>
      <w:hyperlink r:id="rId8" w:history="1">
        <w:r w:rsidRPr="002B66F2">
          <w:rPr>
            <w:rFonts w:ascii="Times New Roman" w:hAnsi="Times New Roman"/>
            <w:color w:val="0260D0"/>
            <w:sz w:val="26"/>
            <w:szCs w:val="26"/>
            <w:u w:val="single"/>
            <w:lang w:eastAsia="ru-RU"/>
          </w:rPr>
          <w:t>335-2011-п</w:t>
        </w:r>
      </w:hyperlink>
      <w:hyperlink r:id="rId9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 )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28.03.2011, </w:t>
        </w:r>
      </w:hyperlink>
      <w:hyperlink r:id="rId10" w:tgtFrame="_blank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№ 1169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16.11.2011</w:t>
        </w:r>
      </w:hyperlink>
      <w:r w:rsidRPr="002B66F2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1" w:tgtFrame="_blank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№ 1208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16.11.2011</w:t>
        </w:r>
      </w:hyperlink>
      <w:r w:rsidRPr="002B66F2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2" w:tgtFrame="_blank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№ 134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20.02.2012</w:t>
        </w:r>
      </w:hyperlink>
      <w:r w:rsidRPr="002B66F2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3" w:anchor="n2" w:tgtFrame="_blank" w:history="1"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№ 661 </w:t>
        </w:r>
        <w:proofErr w:type="spell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від</w:t>
        </w:r>
        <w:proofErr w:type="spell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 xml:space="preserve"> 11.07.2012</w:t>
        </w:r>
      </w:hyperlink>
      <w:hyperlink r:id="rId14" w:history="1">
        <w:proofErr w:type="gramStart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 }</w:t>
        </w:r>
        <w:proofErr w:type="gramEnd"/>
        <w:r w:rsidRPr="002B66F2">
          <w:rPr>
            <w:rFonts w:ascii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</w:hyperlink>
    </w:p>
    <w:p w:rsidR="00352F72" w:rsidRDefault="00352F72" w:rsidP="00352F72">
      <w:pPr>
        <w:spacing w:before="100" w:beforeAutospacing="1" w:after="100" w:afterAutospacing="1"/>
        <w:ind w:firstLine="0"/>
        <w:rPr>
          <w:rFonts w:ascii="Times New Roman" w:hAnsi="Times New Roman"/>
          <w:sz w:val="26"/>
          <w:szCs w:val="26"/>
          <w:lang w:val="uk-UA" w:eastAsia="ru-RU"/>
        </w:rPr>
      </w:pPr>
      <w:r w:rsidRPr="002B66F2">
        <w:rPr>
          <w:rFonts w:ascii="Times New Roman" w:hAnsi="Times New Roman"/>
          <w:sz w:val="26"/>
          <w:szCs w:val="26"/>
          <w:lang w:eastAsia="ru-RU"/>
        </w:rPr>
        <w:t> </w:t>
      </w:r>
      <w:r w:rsidRPr="009D7AE6">
        <w:rPr>
          <w:rFonts w:ascii="Times New Roman" w:hAnsi="Times New Roman"/>
          <w:sz w:val="26"/>
          <w:szCs w:val="26"/>
          <w:lang w:val="uk-UA" w:eastAsia="ru-RU"/>
        </w:rPr>
        <w:t xml:space="preserve">Адже створення «розумних міст» в Україні регламентується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Проектом </w:t>
      </w:r>
      <w:r w:rsidRPr="009D7AE6">
        <w:rPr>
          <w:rFonts w:ascii="Times New Roman" w:hAnsi="Times New Roman"/>
          <w:sz w:val="26"/>
          <w:szCs w:val="26"/>
          <w:lang w:val="uk-UA" w:eastAsia="ru-RU"/>
        </w:rPr>
        <w:t>Закон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у «Про національні проекти України», в якому </w:t>
      </w:r>
      <w:r w:rsidRPr="009D7AE6">
        <w:rPr>
          <w:rFonts w:ascii="Times New Roman" w:hAnsi="Times New Roman"/>
          <w:sz w:val="26"/>
          <w:szCs w:val="26"/>
          <w:lang w:val="uk-UA" w:eastAsia="ru-RU"/>
        </w:rPr>
        <w:t xml:space="preserve"> визначає правові, економічні та організаційні засади діяльності суб'єктів відносин у сфері підготовки, впровадження та реалізації національних проектів.</w:t>
      </w:r>
    </w:p>
    <w:p w:rsidR="00352F72" w:rsidRPr="002B66F2" w:rsidRDefault="00352F72" w:rsidP="00352F72">
      <w:pPr>
        <w:spacing w:before="100" w:beforeAutospacing="1" w:after="100" w:afterAutospacing="1"/>
        <w:ind w:firstLine="0"/>
        <w:rPr>
          <w:rFonts w:ascii="Times New Roman" w:hAnsi="Times New Roman"/>
          <w:sz w:val="26"/>
          <w:szCs w:val="26"/>
          <w:lang w:val="uk-UA" w:eastAsia="ru-RU"/>
        </w:rPr>
      </w:pPr>
      <w:r w:rsidRPr="009D7AE6">
        <w:rPr>
          <w:rFonts w:ascii="Times New Roman" w:hAnsi="Times New Roman"/>
          <w:sz w:val="26"/>
          <w:szCs w:val="26"/>
          <w:lang w:val="uk-UA" w:eastAsia="ru-RU"/>
        </w:rPr>
        <w:t>Метою цього Закону є створення правових засад для розв'язання стратегічних соціально-економічних проблем держави, покращення якості життя громадян, додаткового залучення інвестицій і підтримки розвитку економіки України інноваційним шляхом.</w:t>
      </w:r>
    </w:p>
    <w:p w:rsidR="00352F72" w:rsidRPr="009D7AE6" w:rsidRDefault="00352F72" w:rsidP="00352F72">
      <w:pPr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Також для реалізації проектів «розумних міст» особливе значення посідає аналіз правових питань, пов’язаних із землевідведенням, а також з юридичним статусом  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правовми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обмеженнями зелених ділянок, що виводяться під «розумні міста».</w:t>
      </w:r>
    </w:p>
    <w:p w:rsidR="00352F72" w:rsidRPr="00ED77CE" w:rsidRDefault="00352F72" w:rsidP="00352F72">
      <w:pPr>
        <w:rPr>
          <w:rFonts w:ascii="Times New Roman" w:hAnsi="Times New Roman"/>
          <w:color w:val="000000"/>
          <w:sz w:val="26"/>
          <w:szCs w:val="26"/>
        </w:rPr>
      </w:pP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Як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зазначено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розділі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6.2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цього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звіту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п’ять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запропонованих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є великими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територіями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площею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100 га до 240 га в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Києві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Ц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є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складними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територіями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точки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зору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їх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теперішньої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забудови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яка 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різних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сформована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комерційною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забудовою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виробничі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промислові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складські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торгівельні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підприємств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організацій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р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ізної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форми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в тому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числі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автозаправки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автосалони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громадською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забудовою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спортивні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споруди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виставковий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центр),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житловою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забудовою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приватні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багатоквартирні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житлові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будинки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), гаражами, 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навчальних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закладів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Як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вже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згадувалося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раніше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цьому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звіті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ми дали запит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Замовникові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надати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чіткі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вхідні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дані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таких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питань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: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-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Документи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ідтверджують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межі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(в тому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числі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),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розглядаються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право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цільове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призначення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державний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акт на право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договір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оренди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відповідними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додатками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згідно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вимог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законодавства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витяг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поземельної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книги,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технічна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документація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землеустрою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відведення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тощо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).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r w:rsidRPr="00ED77CE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Документи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ідтверджують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право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розташовані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ділянці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яка є предметом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аналізу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зокрема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загальна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цільове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призначення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група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капітальності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основі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разом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планами БТІ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свідоцтво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право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договір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купівлі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-продажу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витяг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реєстрацію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права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реєстрацію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здійснює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БТІ),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техн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ічна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документація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будівлю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виготовляється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БТІ).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розуміємо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БТІ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робить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заміри</w:t>
      </w:r>
      <w:proofErr w:type="spellEnd"/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будівель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видає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відповідну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інформацію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їх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момент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інвентаризації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момент покупки.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Оскільки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більшості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випадків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не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вчинялися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будівель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розташованих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ділянках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розглядається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надання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інформації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право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вл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розташовані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ділянках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є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неможливим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в рамках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даного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етапу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Тому 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цілей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оцінки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можливих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затрат на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ідготовку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девелопменту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в тому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числі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їх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консолідацію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відселення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теперішніх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користувачів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самостійно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основі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додатково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узгоджених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Замовником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припущень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обраховували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приблизну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яку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займають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різноманітні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підприємства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організації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приблизну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площу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будівель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потрібно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буде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винести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територій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п’яти</w:t>
      </w:r>
      <w:proofErr w:type="spellEnd"/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розглядаються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випадку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їх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комплексного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девелопменту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Очевидним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залишається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те,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окр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фінансово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затратної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частини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консолідація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відселення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теперішніх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власників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примусовим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відчуженням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їх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 буде складною процедурою,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пов’язаною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високими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ризиками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в тому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числі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складністю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прогнозування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часу,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необхідного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повного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успішного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завершення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цієї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процедури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впевнені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ефективна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реалізація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такого масштабного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містобудівного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неможлива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без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створення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спец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іального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правового поля. Як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описували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розділі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5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цього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звіту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більшості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європейських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країн</w:t>
      </w:r>
      <w:proofErr w:type="spellEnd"/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була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створена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спеціальна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база, яка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регулює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аспекти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таких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стратегічних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містобудівних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проектів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детальніше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дивіться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Розділ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5.3).</w:t>
      </w:r>
    </w:p>
    <w:p w:rsidR="00791AC1" w:rsidRDefault="00352F72" w:rsidP="00352F72">
      <w:r w:rsidRPr="00ED77CE">
        <w:rPr>
          <w:rFonts w:ascii="Times New Roman" w:hAnsi="Times New Roman"/>
          <w:color w:val="000000"/>
          <w:sz w:val="26"/>
          <w:szCs w:val="26"/>
        </w:rPr>
        <w:t xml:space="preserve">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зв’язку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аналіз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питань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виходить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межі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професійної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компетенції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компанії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DTZ.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зв’язку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відповідна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інформація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була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надана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Замовника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в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процесі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виконання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робіт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по проекту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базувалися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наших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припущеннях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узгоджених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Замовником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Для детального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вивчення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мінімізації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ризиків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юридичного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характеру,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пов’язаних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lastRenderedPageBreak/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девелопментом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рекомендуємо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звернутися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повним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правовим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аналізом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кваліфікованих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проф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ільних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спеціалістів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котрі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спеціалізуються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питаннях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Вже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даному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етапі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робіт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по проекту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звернулися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фахівців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міжнародної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юридичної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компанії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DLA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Piper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(ТОВ 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Е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л Ей ПАЙПЕР УКРАЇНА") за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професійними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коментарями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щодо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питань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пов’язаних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землеволодінням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землекористуваннмя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правовими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обмеженнями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використання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Загальні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роз’яснення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любязно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надані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нам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висококваліфікованими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фахівцями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DLA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Piper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представлені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нижче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цьому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звіті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>ЗАГАЛЬНИЙ ОГЛЯД ПОЛОЖЕНЬ ЗАКОНОДАВСТВА УКРАЇНИ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>ЩОДО КОНСОЛІДАЦІЇ ЗЕМЕЛЬ ТА НЕРУХОМОСТІ МІСЦЕВИМИ ОРГАНАМИ ВЛАДИ"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Наталія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Кочергіна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Партнер та Глава практики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br/>
        <w:t>Natalia.Kochergina@dlapiper.com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Дмитро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Пікалов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, старший юрист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>Dmytro.Pikalov@dlapiper.com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>ТОВ 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Е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л Ей ПАЙПЕР УКРАЇНА"</w:t>
      </w:r>
      <w:r w:rsidRPr="00ED77CE">
        <w:rPr>
          <w:rFonts w:ascii="Times New Roman" w:hAnsi="Times New Roman"/>
          <w:color w:val="000000"/>
          <w:sz w:val="26"/>
          <w:szCs w:val="26"/>
        </w:rPr>
        <w:br/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ВСТУП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br/>
        <w:t>Проект 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Київ-Сіті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"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планується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реалізувати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одній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5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потенційних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"),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попередньо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визначені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Київською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міською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державною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адміністрацією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 В межах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знаходяться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відведені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об’єкти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 ("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Майно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"),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розташовані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них,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перебувають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державній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комунальній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приватній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цілей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 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Київ-Сіті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"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передбачається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усе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Майно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в межах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акумулюється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комунальній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територіальної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громади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міста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Києва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зокрема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: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1.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Усі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об’єкти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перебувають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приватній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викуповуються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власників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Київською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міською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радою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державною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адм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іністрацією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2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Об’єкти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перебувають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державній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передаються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комунальну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власність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3.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Оренду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інші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користування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ділянками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мають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бути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lastRenderedPageBreak/>
        <w:t>припиненні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зарахуванням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таких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земель запасу.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br/>
        <w:t xml:space="preserve">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загального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висновку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беручи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уваги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структуру проекту "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Київ-Сіті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",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розглядається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вимоги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чинного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законодавства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України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ми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вважаємо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юридичної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точки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зору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стадію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протягом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має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відбутися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консолідація</w:t>
      </w:r>
      <w:proofErr w:type="spellEnd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комунальній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буде практично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неможливо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реалізувати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практиці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Зокрема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з метою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примусового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припинення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прав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приватних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осіб</w:t>
      </w:r>
      <w:proofErr w:type="spellEnd"/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(права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власності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оренди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тощо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) на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земельні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ділянки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об’єкти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Київській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міській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скоріш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за все,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доведеться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ініціювати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численні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судові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процеси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можуть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бути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доволі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затратними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тривалими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>З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метою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спрощення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стадії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міська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влада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може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розглянути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можливість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ініціювання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змін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законодавства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України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які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необхідні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для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втілення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проекту.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реалізації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проекту,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також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радимо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провести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юридичну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експертизу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legal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due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diligence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) Майна, яке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знаходиться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на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ілянках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Нижче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міститься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огляд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положень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законодавства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України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що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застосовується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до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передачі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об’єктів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нерухомого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майна та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землі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в межах</w:t>
      </w:r>
      <w:proofErr w:type="gramStart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ED77CE">
        <w:rPr>
          <w:rFonts w:ascii="Times New Roman" w:hAnsi="Times New Roman"/>
          <w:color w:val="000000"/>
          <w:sz w:val="26"/>
          <w:szCs w:val="26"/>
        </w:rPr>
        <w:t>ілянок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комунальну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власність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територіальної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громади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 xml:space="preserve"> м. </w:t>
      </w:r>
      <w:proofErr w:type="spellStart"/>
      <w:r w:rsidRPr="00ED77CE">
        <w:rPr>
          <w:rFonts w:ascii="Times New Roman" w:hAnsi="Times New Roman"/>
          <w:color w:val="000000"/>
          <w:sz w:val="26"/>
          <w:szCs w:val="26"/>
        </w:rPr>
        <w:t>Києва</w:t>
      </w:r>
      <w:proofErr w:type="spellEnd"/>
      <w:r w:rsidRPr="00ED77CE">
        <w:rPr>
          <w:rFonts w:ascii="Times New Roman" w:hAnsi="Times New Roman"/>
          <w:color w:val="000000"/>
          <w:sz w:val="26"/>
          <w:szCs w:val="26"/>
        </w:rPr>
        <w:t>.</w:t>
      </w:r>
      <w:r w:rsidRPr="00ED77CE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bookmarkStart w:id="0" w:name="_GoBack"/>
      <w:bookmarkEnd w:id="0"/>
    </w:p>
    <w:sectPr w:rsidR="007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10"/>
    <w:rsid w:val="00352F72"/>
    <w:rsid w:val="00791AC1"/>
    <w:rsid w:val="00C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72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52F72"/>
  </w:style>
  <w:style w:type="paragraph" w:customStyle="1" w:styleId="rtejustify">
    <w:name w:val="rtejustify"/>
    <w:basedOn w:val="a"/>
    <w:rsid w:val="00352F72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72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52F72"/>
  </w:style>
  <w:style w:type="paragraph" w:customStyle="1" w:styleId="rtejustify">
    <w:name w:val="rtejustify"/>
    <w:basedOn w:val="a"/>
    <w:rsid w:val="00352F72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cgi-bin/laws/main.cgi?nreg=1256-2010-%EF&amp;p=1315140218494452" TargetMode="External"/><Relationship Id="rId13" Type="http://schemas.openxmlformats.org/officeDocument/2006/relationships/hyperlink" Target="http://zakon0.rada.gov.ua/laws/show/661-2012-%D0%BF/paran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cgi-bin/laws/main.cgi?nreg=1256-2010-%EF&amp;p=1315140218494452" TargetMode="External"/><Relationship Id="rId12" Type="http://schemas.openxmlformats.org/officeDocument/2006/relationships/hyperlink" Target="http://zakon0.rada.gov.ua/laws/show/134-2012-%D0%B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.rada.gov.ua/cgi-bin/laws/main.cgi?nreg=1256-2010-%EF&amp;p=1315140218494452" TargetMode="External"/><Relationship Id="rId11" Type="http://schemas.openxmlformats.org/officeDocument/2006/relationships/hyperlink" Target="http://zakon0.rada.gov.ua/laws/show/1208-2011-%D0%BF" TargetMode="External"/><Relationship Id="rId5" Type="http://schemas.openxmlformats.org/officeDocument/2006/relationships/hyperlink" Target="http://www.president.gov.ua/news/1802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0.rada.gov.ua/laws/show/1169-2011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rada.gov.ua/cgi-bin/laws/main.cgi?nreg=1256-2010-%EF&amp;p=1315140218494452" TargetMode="External"/><Relationship Id="rId14" Type="http://schemas.openxmlformats.org/officeDocument/2006/relationships/hyperlink" Target="http://zakon.rada.gov.ua/cgi-bin/laws/main.cgi?nreg=1256-2010-%EF&amp;p=131514021849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1684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2013-07-18T08:21:00Z</dcterms:created>
  <dcterms:modified xsi:type="dcterms:W3CDTF">2013-07-18T08:22:00Z</dcterms:modified>
</cp:coreProperties>
</file>