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733" w:rsidRDefault="008E4733" w:rsidP="008E4733">
      <w:pPr>
        <w:rPr>
          <w:rFonts w:ascii="Times New Roman" w:eastAsia="Calibri" w:hAnsi="Times New Roman"/>
          <w:b/>
          <w:sz w:val="26"/>
          <w:szCs w:val="26"/>
          <w:lang w:val="uk-UA"/>
        </w:rPr>
      </w:pPr>
      <w:r>
        <w:rPr>
          <w:rFonts w:ascii="Times New Roman" w:eastAsia="Calibri" w:hAnsi="Times New Roman"/>
          <w:b/>
          <w:sz w:val="26"/>
          <w:szCs w:val="26"/>
          <w:lang w:val="uk-UA"/>
        </w:rPr>
        <w:t>3.1.6. Аналіз перешкод</w:t>
      </w:r>
    </w:p>
    <w:p w:rsidR="008E4733" w:rsidRPr="000D5322" w:rsidRDefault="008E4733" w:rsidP="008E4733">
      <w:pPr>
        <w:rPr>
          <w:rFonts w:ascii="Times New Roman" w:eastAsia="Calibri" w:hAnsi="Times New Roman"/>
          <w:sz w:val="26"/>
          <w:szCs w:val="26"/>
          <w:lang w:val="uk-UA"/>
        </w:rPr>
      </w:pPr>
      <w:r w:rsidRPr="000D5322">
        <w:rPr>
          <w:rFonts w:ascii="Times New Roman" w:eastAsia="Calibri" w:hAnsi="Times New Roman"/>
          <w:sz w:val="26"/>
          <w:szCs w:val="26"/>
          <w:lang w:val="uk-UA"/>
        </w:rPr>
        <w:t xml:space="preserve">Аналіз світового досвіду реалізації проектів створення </w:t>
      </w:r>
      <w:r>
        <w:rPr>
          <w:rFonts w:ascii="Times New Roman" w:eastAsia="Calibri" w:hAnsi="Times New Roman"/>
          <w:sz w:val="26"/>
          <w:szCs w:val="26"/>
          <w:lang w:val="uk-UA"/>
        </w:rPr>
        <w:t>розумних міст</w:t>
      </w:r>
      <w:r w:rsidRPr="000D5322">
        <w:rPr>
          <w:rFonts w:ascii="Times New Roman" w:eastAsia="Calibri" w:hAnsi="Times New Roman"/>
          <w:sz w:val="26"/>
          <w:szCs w:val="26"/>
          <w:lang w:val="uk-UA"/>
        </w:rPr>
        <w:t xml:space="preserve"> свідчить про те, що основним несприятливими факторами (перешкодами) є наступні групи:</w:t>
      </w:r>
    </w:p>
    <w:p w:rsidR="008E4733" w:rsidRPr="000D5322" w:rsidRDefault="008E4733" w:rsidP="008E4733">
      <w:pPr>
        <w:numPr>
          <w:ilvl w:val="0"/>
          <w:numId w:val="1"/>
        </w:numPr>
        <w:spacing w:after="200"/>
        <w:contextualSpacing/>
        <w:jc w:val="left"/>
        <w:rPr>
          <w:rFonts w:ascii="Times New Roman" w:eastAsia="Calibri" w:hAnsi="Times New Roman"/>
          <w:b/>
          <w:sz w:val="26"/>
          <w:szCs w:val="26"/>
          <w:lang w:val="uk-UA"/>
        </w:rPr>
      </w:pPr>
      <w:r w:rsidRPr="000D5322">
        <w:rPr>
          <w:rFonts w:ascii="Times New Roman" w:eastAsia="Calibri" w:hAnsi="Times New Roman"/>
          <w:b/>
          <w:sz w:val="26"/>
          <w:szCs w:val="26"/>
          <w:lang w:val="uk-UA"/>
        </w:rPr>
        <w:t>Політичні:</w:t>
      </w:r>
    </w:p>
    <w:p w:rsidR="008E4733" w:rsidRPr="000D5322" w:rsidRDefault="008E4733" w:rsidP="008E4733">
      <w:pPr>
        <w:numPr>
          <w:ilvl w:val="0"/>
          <w:numId w:val="2"/>
        </w:numPr>
        <w:spacing w:after="200"/>
        <w:ind w:left="0" w:firstLine="709"/>
        <w:contextualSpacing/>
        <w:jc w:val="left"/>
        <w:rPr>
          <w:rFonts w:ascii="Times New Roman" w:eastAsia="Calibri" w:hAnsi="Times New Roman"/>
          <w:sz w:val="26"/>
          <w:szCs w:val="26"/>
          <w:lang w:val="uk-UA"/>
        </w:rPr>
      </w:pPr>
      <w:r w:rsidRPr="000D5322">
        <w:rPr>
          <w:rFonts w:ascii="Times New Roman" w:eastAsia="Calibri" w:hAnsi="Times New Roman"/>
          <w:sz w:val="26"/>
          <w:szCs w:val="26"/>
          <w:lang w:val="uk-UA"/>
        </w:rPr>
        <w:t>Політична нестабільність в країні;</w:t>
      </w:r>
    </w:p>
    <w:p w:rsidR="008E4733" w:rsidRPr="000D5322" w:rsidRDefault="008E4733" w:rsidP="008E4733">
      <w:pPr>
        <w:numPr>
          <w:ilvl w:val="0"/>
          <w:numId w:val="2"/>
        </w:numPr>
        <w:spacing w:after="200"/>
        <w:ind w:left="0" w:firstLine="709"/>
        <w:contextualSpacing/>
        <w:jc w:val="left"/>
        <w:rPr>
          <w:rFonts w:ascii="Times New Roman" w:eastAsia="Calibri" w:hAnsi="Times New Roman"/>
          <w:sz w:val="26"/>
          <w:szCs w:val="26"/>
          <w:lang w:val="uk-UA"/>
        </w:rPr>
      </w:pPr>
      <w:r w:rsidRPr="000D5322">
        <w:rPr>
          <w:rFonts w:ascii="Times New Roman" w:eastAsia="Calibri" w:hAnsi="Times New Roman"/>
          <w:sz w:val="26"/>
          <w:szCs w:val="26"/>
          <w:lang w:val="uk-UA"/>
        </w:rPr>
        <w:t xml:space="preserve">Відсутність гарантій з боку держави щодо </w:t>
      </w:r>
      <w:proofErr w:type="spellStart"/>
      <w:r w:rsidRPr="000D5322">
        <w:rPr>
          <w:rFonts w:ascii="Times New Roman" w:eastAsia="Calibri" w:hAnsi="Times New Roman"/>
          <w:sz w:val="26"/>
          <w:szCs w:val="26"/>
          <w:lang w:val="uk-UA"/>
        </w:rPr>
        <w:t>фіннасування</w:t>
      </w:r>
      <w:proofErr w:type="spellEnd"/>
      <w:r w:rsidRPr="000D5322">
        <w:rPr>
          <w:rFonts w:ascii="Times New Roman" w:eastAsia="Calibri" w:hAnsi="Times New Roman"/>
          <w:sz w:val="26"/>
          <w:szCs w:val="26"/>
          <w:lang w:val="uk-UA"/>
        </w:rPr>
        <w:t xml:space="preserve"> інноваційної інфраструктури;</w:t>
      </w:r>
    </w:p>
    <w:p w:rsidR="008E4733" w:rsidRPr="000D5322" w:rsidRDefault="008E4733" w:rsidP="008E4733">
      <w:pPr>
        <w:numPr>
          <w:ilvl w:val="0"/>
          <w:numId w:val="2"/>
        </w:numPr>
        <w:spacing w:after="200"/>
        <w:ind w:left="0" w:firstLine="709"/>
        <w:contextualSpacing/>
        <w:jc w:val="left"/>
        <w:rPr>
          <w:rFonts w:ascii="Times New Roman" w:eastAsia="Calibri" w:hAnsi="Times New Roman"/>
          <w:sz w:val="26"/>
          <w:szCs w:val="26"/>
          <w:lang w:val="uk-UA"/>
        </w:rPr>
      </w:pPr>
      <w:r w:rsidRPr="000D5322">
        <w:rPr>
          <w:rFonts w:ascii="Times New Roman" w:eastAsia="Calibri" w:hAnsi="Times New Roman"/>
          <w:sz w:val="26"/>
          <w:szCs w:val="26"/>
          <w:lang w:val="uk-UA"/>
        </w:rPr>
        <w:t>Негнучка регуляторна політика у сфері венчурного інвестування в країні;</w:t>
      </w:r>
    </w:p>
    <w:p w:rsidR="008E4733" w:rsidRPr="000D5322" w:rsidRDefault="008E4733" w:rsidP="008E4733">
      <w:pPr>
        <w:numPr>
          <w:ilvl w:val="0"/>
          <w:numId w:val="2"/>
        </w:numPr>
        <w:spacing w:after="200"/>
        <w:ind w:left="0" w:firstLine="709"/>
        <w:contextualSpacing/>
        <w:jc w:val="left"/>
        <w:rPr>
          <w:rFonts w:ascii="Times New Roman" w:eastAsia="Calibri" w:hAnsi="Times New Roman"/>
          <w:sz w:val="26"/>
          <w:szCs w:val="26"/>
          <w:lang w:val="uk-UA"/>
        </w:rPr>
      </w:pPr>
      <w:r w:rsidRPr="000D5322">
        <w:rPr>
          <w:rFonts w:ascii="Times New Roman" w:eastAsia="Calibri" w:hAnsi="Times New Roman"/>
          <w:sz w:val="26"/>
          <w:szCs w:val="26"/>
          <w:lang w:val="uk-UA"/>
        </w:rPr>
        <w:t>Розвинений механізм державної участі у венчурному інвестуванні через фонди, які інвестують державні кошти у створення венчурних фондів в різних долях з приватним капіталом;</w:t>
      </w:r>
    </w:p>
    <w:p w:rsidR="008E4733" w:rsidRPr="000D5322" w:rsidRDefault="008E4733" w:rsidP="008E4733">
      <w:pPr>
        <w:numPr>
          <w:ilvl w:val="0"/>
          <w:numId w:val="2"/>
        </w:numPr>
        <w:spacing w:after="200"/>
        <w:ind w:left="0" w:firstLine="709"/>
        <w:contextualSpacing/>
        <w:jc w:val="left"/>
        <w:rPr>
          <w:rFonts w:ascii="Times New Roman" w:eastAsia="Calibri" w:hAnsi="Times New Roman"/>
          <w:sz w:val="26"/>
          <w:szCs w:val="26"/>
          <w:lang w:val="uk-UA"/>
        </w:rPr>
      </w:pPr>
      <w:r w:rsidRPr="000D5322">
        <w:rPr>
          <w:rFonts w:ascii="Times New Roman" w:eastAsia="Calibri" w:hAnsi="Times New Roman"/>
          <w:sz w:val="26"/>
          <w:szCs w:val="26"/>
          <w:lang w:val="uk-UA"/>
        </w:rPr>
        <w:t>Нерозвинений фондовий ринок;</w:t>
      </w:r>
    </w:p>
    <w:p w:rsidR="008E4733" w:rsidRPr="000D5322" w:rsidRDefault="008E4733" w:rsidP="008E4733">
      <w:pPr>
        <w:numPr>
          <w:ilvl w:val="0"/>
          <w:numId w:val="1"/>
        </w:numPr>
        <w:spacing w:after="200"/>
        <w:contextualSpacing/>
        <w:jc w:val="left"/>
        <w:rPr>
          <w:rFonts w:ascii="Times New Roman" w:eastAsia="Calibri" w:hAnsi="Times New Roman"/>
          <w:b/>
          <w:sz w:val="26"/>
          <w:szCs w:val="26"/>
          <w:lang w:val="uk-UA"/>
        </w:rPr>
      </w:pPr>
      <w:r w:rsidRPr="000D5322">
        <w:rPr>
          <w:rFonts w:ascii="Times New Roman" w:eastAsia="Calibri" w:hAnsi="Times New Roman"/>
          <w:b/>
          <w:sz w:val="26"/>
          <w:szCs w:val="26"/>
          <w:lang w:val="uk-UA"/>
        </w:rPr>
        <w:t>Економічні:</w:t>
      </w:r>
    </w:p>
    <w:p w:rsidR="008E4733" w:rsidRPr="000D5322" w:rsidRDefault="008E4733" w:rsidP="008E4733">
      <w:pPr>
        <w:numPr>
          <w:ilvl w:val="0"/>
          <w:numId w:val="3"/>
        </w:numPr>
        <w:spacing w:after="200"/>
        <w:ind w:left="0" w:firstLine="709"/>
        <w:contextualSpacing/>
        <w:jc w:val="left"/>
        <w:rPr>
          <w:rFonts w:ascii="Times New Roman" w:eastAsia="Calibri" w:hAnsi="Times New Roman"/>
          <w:sz w:val="26"/>
          <w:szCs w:val="26"/>
          <w:lang w:val="uk-UA"/>
        </w:rPr>
      </w:pPr>
      <w:r w:rsidRPr="000D5322">
        <w:rPr>
          <w:rFonts w:ascii="Times New Roman" w:eastAsia="Calibri" w:hAnsi="Times New Roman"/>
          <w:sz w:val="26"/>
          <w:szCs w:val="26"/>
          <w:lang w:val="uk-UA"/>
        </w:rPr>
        <w:t>Відсутність активного податкового стимулювання створення нових підприємств в цілому;</w:t>
      </w:r>
    </w:p>
    <w:p w:rsidR="008E4733" w:rsidRPr="000D5322" w:rsidRDefault="008E4733" w:rsidP="008E4733">
      <w:pPr>
        <w:numPr>
          <w:ilvl w:val="0"/>
          <w:numId w:val="3"/>
        </w:numPr>
        <w:spacing w:after="200"/>
        <w:ind w:left="0" w:firstLine="709"/>
        <w:contextualSpacing/>
        <w:jc w:val="left"/>
        <w:rPr>
          <w:rFonts w:ascii="Times New Roman" w:eastAsia="Calibri" w:hAnsi="Times New Roman"/>
          <w:sz w:val="26"/>
          <w:szCs w:val="26"/>
          <w:lang w:val="uk-UA"/>
        </w:rPr>
      </w:pPr>
      <w:r w:rsidRPr="000D5322">
        <w:rPr>
          <w:rFonts w:ascii="Times New Roman" w:eastAsia="Calibri" w:hAnsi="Times New Roman"/>
          <w:sz w:val="26"/>
          <w:szCs w:val="26"/>
          <w:lang w:val="uk-UA"/>
        </w:rPr>
        <w:t>Відсутність податкових стимулів – зменшення податків для інвесторів, звільнення від оподаткування на початкових стадіях зародження високотехнологічних компаній тощо.</w:t>
      </w:r>
    </w:p>
    <w:p w:rsidR="008E4733" w:rsidRPr="000D5322" w:rsidRDefault="008E4733" w:rsidP="008E4733">
      <w:pPr>
        <w:numPr>
          <w:ilvl w:val="0"/>
          <w:numId w:val="3"/>
        </w:numPr>
        <w:spacing w:after="200"/>
        <w:ind w:left="0" w:firstLine="709"/>
        <w:contextualSpacing/>
        <w:jc w:val="left"/>
        <w:rPr>
          <w:rFonts w:ascii="Times New Roman" w:eastAsia="Calibri" w:hAnsi="Times New Roman"/>
          <w:sz w:val="26"/>
          <w:szCs w:val="26"/>
          <w:lang w:val="uk-UA"/>
        </w:rPr>
      </w:pPr>
      <w:r w:rsidRPr="000D5322">
        <w:rPr>
          <w:rFonts w:ascii="Times New Roman" w:eastAsia="Calibri" w:hAnsi="Times New Roman"/>
          <w:sz w:val="26"/>
          <w:szCs w:val="26"/>
          <w:lang w:val="uk-UA"/>
        </w:rPr>
        <w:t>Економічна нестабільність в країні;</w:t>
      </w:r>
    </w:p>
    <w:p w:rsidR="008E4733" w:rsidRPr="000D5322" w:rsidRDefault="008E4733" w:rsidP="008E4733">
      <w:pPr>
        <w:numPr>
          <w:ilvl w:val="0"/>
          <w:numId w:val="3"/>
        </w:numPr>
        <w:spacing w:after="200"/>
        <w:ind w:left="0" w:firstLine="709"/>
        <w:contextualSpacing/>
        <w:jc w:val="left"/>
        <w:rPr>
          <w:rFonts w:ascii="Times New Roman" w:eastAsia="Calibri" w:hAnsi="Times New Roman"/>
          <w:sz w:val="26"/>
          <w:szCs w:val="26"/>
          <w:lang w:val="uk-UA"/>
        </w:rPr>
      </w:pPr>
      <w:r w:rsidRPr="000D5322">
        <w:rPr>
          <w:rFonts w:ascii="Times New Roman" w:eastAsia="Calibri" w:hAnsi="Times New Roman"/>
          <w:sz w:val="26"/>
          <w:szCs w:val="26"/>
          <w:lang w:val="uk-UA"/>
        </w:rPr>
        <w:t>Відсутність зацікавленості фінансових установ у підтримці інноваційних проектів;</w:t>
      </w:r>
    </w:p>
    <w:p w:rsidR="008E4733" w:rsidRPr="000D5322" w:rsidRDefault="008E4733" w:rsidP="008E4733">
      <w:pPr>
        <w:numPr>
          <w:ilvl w:val="0"/>
          <w:numId w:val="3"/>
        </w:numPr>
        <w:spacing w:after="200"/>
        <w:ind w:left="0" w:firstLine="709"/>
        <w:contextualSpacing/>
        <w:jc w:val="left"/>
        <w:rPr>
          <w:rFonts w:ascii="Times New Roman" w:eastAsia="Calibri" w:hAnsi="Times New Roman"/>
          <w:sz w:val="26"/>
          <w:szCs w:val="26"/>
          <w:lang w:val="uk-UA"/>
        </w:rPr>
      </w:pPr>
      <w:r w:rsidRPr="000D5322">
        <w:rPr>
          <w:rFonts w:ascii="Times New Roman" w:eastAsia="Calibri" w:hAnsi="Times New Roman"/>
          <w:sz w:val="26"/>
          <w:szCs w:val="26"/>
          <w:lang w:val="uk-UA"/>
        </w:rPr>
        <w:t>Обмежений попит на інноваційну продукцію всередині країни;</w:t>
      </w:r>
    </w:p>
    <w:p w:rsidR="008E4733" w:rsidRPr="000D5322" w:rsidRDefault="008E4733" w:rsidP="008E4733">
      <w:pPr>
        <w:numPr>
          <w:ilvl w:val="0"/>
          <w:numId w:val="3"/>
        </w:numPr>
        <w:spacing w:after="200"/>
        <w:ind w:left="0" w:firstLine="709"/>
        <w:contextualSpacing/>
        <w:jc w:val="left"/>
        <w:rPr>
          <w:rFonts w:ascii="Times New Roman" w:eastAsia="Calibri" w:hAnsi="Times New Roman"/>
          <w:sz w:val="26"/>
          <w:szCs w:val="26"/>
          <w:lang w:val="uk-UA"/>
        </w:rPr>
      </w:pPr>
      <w:r w:rsidRPr="000D5322">
        <w:rPr>
          <w:rFonts w:ascii="Times New Roman" w:eastAsia="Calibri" w:hAnsi="Times New Roman"/>
          <w:sz w:val="26"/>
          <w:szCs w:val="26"/>
          <w:lang w:val="uk-UA"/>
        </w:rPr>
        <w:t>Низька платоспроможність вітчизняних споживачів нової технології / техніки;</w:t>
      </w:r>
    </w:p>
    <w:p w:rsidR="008E4733" w:rsidRPr="000D5322" w:rsidRDefault="008E4733" w:rsidP="008E4733">
      <w:pPr>
        <w:numPr>
          <w:ilvl w:val="0"/>
          <w:numId w:val="1"/>
        </w:numPr>
        <w:spacing w:after="200"/>
        <w:contextualSpacing/>
        <w:jc w:val="left"/>
        <w:rPr>
          <w:rFonts w:ascii="Times New Roman" w:eastAsia="Calibri" w:hAnsi="Times New Roman"/>
          <w:b/>
          <w:sz w:val="26"/>
          <w:szCs w:val="26"/>
          <w:lang w:val="uk-UA"/>
        </w:rPr>
      </w:pPr>
      <w:r w:rsidRPr="000D5322">
        <w:rPr>
          <w:rFonts w:ascii="Times New Roman" w:eastAsia="Calibri" w:hAnsi="Times New Roman"/>
          <w:b/>
          <w:sz w:val="26"/>
          <w:szCs w:val="26"/>
          <w:lang w:val="uk-UA"/>
        </w:rPr>
        <w:t>Освітні (наукового потенціалу):</w:t>
      </w:r>
    </w:p>
    <w:p w:rsidR="008E4733" w:rsidRPr="000D5322" w:rsidRDefault="008E4733" w:rsidP="008E4733">
      <w:pPr>
        <w:numPr>
          <w:ilvl w:val="0"/>
          <w:numId w:val="4"/>
        </w:numPr>
        <w:spacing w:after="200"/>
        <w:ind w:left="0" w:firstLine="709"/>
        <w:contextualSpacing/>
        <w:jc w:val="left"/>
        <w:rPr>
          <w:rFonts w:ascii="Times New Roman" w:eastAsia="Calibri" w:hAnsi="Times New Roman"/>
          <w:sz w:val="26"/>
          <w:szCs w:val="26"/>
          <w:lang w:val="uk-UA"/>
        </w:rPr>
      </w:pPr>
      <w:r w:rsidRPr="000D5322">
        <w:rPr>
          <w:rFonts w:ascii="Times New Roman" w:eastAsia="Calibri" w:hAnsi="Times New Roman"/>
          <w:sz w:val="26"/>
          <w:szCs w:val="26"/>
          <w:lang w:val="uk-UA"/>
        </w:rPr>
        <w:t>Відтік розумового потенціалу з країни;</w:t>
      </w:r>
    </w:p>
    <w:p w:rsidR="008E4733" w:rsidRPr="000D5322" w:rsidRDefault="008E4733" w:rsidP="008E4733">
      <w:pPr>
        <w:numPr>
          <w:ilvl w:val="0"/>
          <w:numId w:val="4"/>
        </w:numPr>
        <w:spacing w:after="200"/>
        <w:ind w:left="0" w:firstLine="709"/>
        <w:contextualSpacing/>
        <w:jc w:val="left"/>
        <w:rPr>
          <w:rFonts w:ascii="Times New Roman" w:eastAsia="Calibri" w:hAnsi="Times New Roman"/>
          <w:sz w:val="26"/>
          <w:szCs w:val="26"/>
          <w:lang w:val="uk-UA"/>
        </w:rPr>
      </w:pPr>
      <w:r w:rsidRPr="000D5322">
        <w:rPr>
          <w:rFonts w:ascii="Times New Roman" w:eastAsia="Calibri" w:hAnsi="Times New Roman"/>
          <w:sz w:val="26"/>
          <w:szCs w:val="26"/>
          <w:lang w:val="uk-UA"/>
        </w:rPr>
        <w:t>Відсутність державної політики спрямованої на зменшення шляху від розробки ідеї до її втілення - створення у навчальних закладах венчурних компаній.</w:t>
      </w:r>
    </w:p>
    <w:p w:rsidR="008E4733" w:rsidRDefault="008E4733" w:rsidP="008E4733">
      <w:pPr>
        <w:numPr>
          <w:ilvl w:val="0"/>
          <w:numId w:val="4"/>
        </w:numPr>
        <w:spacing w:after="200"/>
        <w:ind w:left="0" w:firstLine="709"/>
        <w:contextualSpacing/>
        <w:jc w:val="left"/>
        <w:rPr>
          <w:rFonts w:ascii="Times New Roman" w:eastAsia="Calibri" w:hAnsi="Times New Roman"/>
          <w:sz w:val="26"/>
          <w:szCs w:val="26"/>
          <w:lang w:val="uk-UA"/>
        </w:rPr>
      </w:pPr>
      <w:r w:rsidRPr="000D5322">
        <w:rPr>
          <w:rFonts w:ascii="Times New Roman" w:eastAsia="Calibri" w:hAnsi="Times New Roman"/>
          <w:sz w:val="26"/>
          <w:szCs w:val="26"/>
          <w:lang w:val="uk-UA"/>
        </w:rPr>
        <w:t xml:space="preserve">Відсутність </w:t>
      </w:r>
      <w:proofErr w:type="spellStart"/>
      <w:r w:rsidRPr="000D5322">
        <w:rPr>
          <w:rFonts w:ascii="Times New Roman" w:eastAsia="Calibri" w:hAnsi="Times New Roman"/>
          <w:sz w:val="26"/>
          <w:szCs w:val="26"/>
          <w:lang w:val="uk-UA"/>
        </w:rPr>
        <w:t>довіду</w:t>
      </w:r>
      <w:proofErr w:type="spellEnd"/>
      <w:r w:rsidRPr="000D5322">
        <w:rPr>
          <w:rFonts w:ascii="Times New Roman" w:eastAsia="Calibri" w:hAnsi="Times New Roman"/>
          <w:sz w:val="26"/>
          <w:szCs w:val="26"/>
          <w:lang w:val="uk-UA"/>
        </w:rPr>
        <w:t xml:space="preserve"> реалізації проектів інноваційної інфраструктури;</w:t>
      </w:r>
    </w:p>
    <w:p w:rsidR="008E4733" w:rsidRDefault="008E4733" w:rsidP="008E4733">
      <w:pPr>
        <w:spacing w:after="200"/>
        <w:contextualSpacing/>
        <w:jc w:val="left"/>
        <w:rPr>
          <w:rFonts w:ascii="Times New Roman" w:eastAsia="Calibri" w:hAnsi="Times New Roman"/>
          <w:sz w:val="26"/>
          <w:szCs w:val="26"/>
          <w:lang w:val="uk-UA"/>
        </w:rPr>
      </w:pPr>
    </w:p>
    <w:p w:rsidR="008E4733" w:rsidRPr="000D5322" w:rsidRDefault="008E4733" w:rsidP="008E4733">
      <w:pPr>
        <w:spacing w:after="200"/>
        <w:contextualSpacing/>
        <w:jc w:val="left"/>
        <w:rPr>
          <w:rFonts w:ascii="Times New Roman" w:eastAsia="Calibri" w:hAnsi="Times New Roman"/>
          <w:sz w:val="26"/>
          <w:szCs w:val="26"/>
          <w:lang w:val="uk-UA"/>
        </w:rPr>
      </w:pPr>
      <w:r>
        <w:rPr>
          <w:rFonts w:ascii="Times New Roman" w:eastAsia="Calibri" w:hAnsi="Times New Roman"/>
          <w:sz w:val="26"/>
          <w:szCs w:val="26"/>
          <w:lang w:val="uk-UA"/>
        </w:rPr>
        <w:lastRenderedPageBreak/>
        <w:t xml:space="preserve">Що ж відносно створення подібного проекту у столиці України, то, </w:t>
      </w:r>
      <w:proofErr w:type="spellStart"/>
      <w:r>
        <w:rPr>
          <w:rFonts w:ascii="Times New Roman" w:eastAsia="Calibri" w:hAnsi="Times New Roman"/>
          <w:sz w:val="26"/>
          <w:szCs w:val="26"/>
          <w:lang w:val="uk-UA"/>
        </w:rPr>
        <w:t>надумку</w:t>
      </w:r>
      <w:proofErr w:type="spellEnd"/>
      <w:r>
        <w:rPr>
          <w:rFonts w:ascii="Times New Roman" w:eastAsia="Calibri" w:hAnsi="Times New Roman"/>
          <w:sz w:val="26"/>
          <w:szCs w:val="26"/>
          <w:lang w:val="uk-UA"/>
        </w:rPr>
        <w:t xml:space="preserve"> експертів, можна зазначити ще одну специфічну групу можливих перешкод</w:t>
      </w:r>
    </w:p>
    <w:p w:rsidR="008E4733" w:rsidRDefault="008E4733" w:rsidP="008E4733">
      <w:pPr>
        <w:contextualSpacing/>
        <w:rPr>
          <w:rFonts w:ascii="Times New Roman" w:eastAsia="Calibri" w:hAnsi="Times New Roman"/>
          <w:sz w:val="26"/>
          <w:szCs w:val="26"/>
          <w:lang w:val="uk-UA"/>
        </w:rPr>
      </w:pPr>
      <w:r w:rsidRPr="000D5322">
        <w:rPr>
          <w:rFonts w:ascii="Times New Roman" w:eastAsia="Calibri" w:hAnsi="Times New Roman"/>
          <w:b/>
          <w:sz w:val="26"/>
          <w:szCs w:val="26"/>
          <w:lang w:val="uk-UA"/>
        </w:rPr>
        <w:t>Викуп/примусове відчуження Майна, що знаходиться у приватній власності</w:t>
      </w:r>
      <w:r w:rsidRPr="000D5322">
        <w:rPr>
          <w:rFonts w:ascii="Times New Roman" w:eastAsia="Calibri" w:hAnsi="Times New Roman"/>
          <w:sz w:val="26"/>
          <w:szCs w:val="26"/>
          <w:lang w:val="uk-UA"/>
        </w:rPr>
        <w:t xml:space="preserve"> </w:t>
      </w:r>
    </w:p>
    <w:p w:rsidR="008E4733" w:rsidRDefault="008E4733" w:rsidP="008E4733">
      <w:pPr>
        <w:contextualSpacing/>
        <w:rPr>
          <w:rFonts w:ascii="Times New Roman" w:eastAsia="Calibri" w:hAnsi="Times New Roman"/>
          <w:sz w:val="26"/>
          <w:szCs w:val="26"/>
          <w:lang w:val="uk-UA"/>
        </w:rPr>
      </w:pPr>
      <w:r w:rsidRPr="000D5322">
        <w:rPr>
          <w:rFonts w:ascii="Times New Roman" w:eastAsia="Calibri" w:hAnsi="Times New Roman"/>
          <w:sz w:val="26"/>
          <w:szCs w:val="26"/>
          <w:lang w:val="uk-UA"/>
        </w:rPr>
        <w:t xml:space="preserve">Згідно з законодавством України жодна особа не може бути протиправно позбавлена права приватної власності на земельні ділянки, інші об'єкти нерухомого майна, що на них розміщені. Однак у певних, законодавчо передбачених випадках, викуп та примусове відчуження Майна місцевими органами влади допускається для суспільних потреб або з мотивів суспільної необхідності через процедуру, визначену законодавством. Необхідно звернути увагу на такі ключові аспекти щодо викупу/вилучення земельних ділянок та об’єктів нерухомого майна. </w:t>
      </w:r>
    </w:p>
    <w:p w:rsidR="008E4733" w:rsidRDefault="008E4733" w:rsidP="008E4733">
      <w:pPr>
        <w:contextualSpacing/>
        <w:rPr>
          <w:rFonts w:ascii="Times New Roman" w:eastAsia="Calibri" w:hAnsi="Times New Roman"/>
          <w:sz w:val="26"/>
          <w:szCs w:val="26"/>
          <w:lang w:val="uk-UA"/>
        </w:rPr>
      </w:pPr>
      <w:r w:rsidRPr="000D5322">
        <w:rPr>
          <w:rFonts w:ascii="Times New Roman" w:eastAsia="Calibri" w:hAnsi="Times New Roman"/>
          <w:sz w:val="26"/>
          <w:szCs w:val="26"/>
          <w:lang w:val="uk-UA"/>
        </w:rPr>
        <w:t>•</w:t>
      </w:r>
      <w:r w:rsidRPr="000D5322">
        <w:rPr>
          <w:rFonts w:ascii="Times New Roman" w:eastAsia="Calibri" w:hAnsi="Times New Roman"/>
          <w:sz w:val="26"/>
          <w:szCs w:val="26"/>
          <w:lang w:val="uk-UA"/>
        </w:rPr>
        <w:tab/>
        <w:t xml:space="preserve">Проект </w:t>
      </w:r>
      <w:r>
        <w:rPr>
          <w:rFonts w:ascii="Times New Roman" w:eastAsia="Calibri" w:hAnsi="Times New Roman"/>
          <w:sz w:val="26"/>
          <w:szCs w:val="26"/>
          <w:lang w:val="uk-UA"/>
        </w:rPr>
        <w:t>створення «розумного міста» передбачатиме</w:t>
      </w:r>
      <w:r w:rsidRPr="000D5322">
        <w:rPr>
          <w:rFonts w:ascii="Times New Roman" w:eastAsia="Calibri" w:hAnsi="Times New Roman"/>
          <w:sz w:val="26"/>
          <w:szCs w:val="26"/>
          <w:lang w:val="uk-UA"/>
        </w:rPr>
        <w:t xml:space="preserve"> будівництво різноманітних об’єктів нерухомого майна (офіси, готелі, конгрес-центр, заклади роздрібної торгівлі та спортивні об’єкти, освітні заклади, міські та урядові підрозділи тощо). При цьому, перелік випадків, коли викуп земельних ділянок та об’єктів нерухомого майна з приватної власності для суспільних потреб або з мотивів суспільної необхідності, передбачений законодавством України, не включає спорудження більшості з вищезгаданих об’єктів проекту. Наприклад, суспільні потреби, що допускають викуп приватних земельних ділянок та об’єктів нерухомого майна за умови згоди їх власників, включають забезпечення національної безпеки та оборони, будівництво транспортної та енергетичної інфраструктури, розміщення іноземних дипломатичних представництв та консульських установ, розміщення об‘єктів, пов‘язаних із видобуванням корисних копалин тощо. У деяких із наведених випадків дозволяється примусове відчуження земельних ділянок та нерухомого майна з мотивів суспільної необхідності на підставі судового рішення. </w:t>
      </w:r>
    </w:p>
    <w:p w:rsidR="008E4733" w:rsidRDefault="008E4733" w:rsidP="008E4733">
      <w:pPr>
        <w:contextualSpacing/>
        <w:rPr>
          <w:rFonts w:ascii="Times New Roman" w:eastAsia="Calibri" w:hAnsi="Times New Roman"/>
          <w:sz w:val="26"/>
          <w:szCs w:val="26"/>
          <w:lang w:val="uk-UA"/>
        </w:rPr>
      </w:pPr>
      <w:r w:rsidRPr="000D5322">
        <w:rPr>
          <w:rFonts w:ascii="Times New Roman" w:eastAsia="Calibri" w:hAnsi="Times New Roman"/>
          <w:sz w:val="26"/>
          <w:szCs w:val="26"/>
          <w:lang w:val="uk-UA"/>
        </w:rPr>
        <w:t xml:space="preserve">• Викуп Майна може бути здійснений за умови отримання згоди його власників. У разі неотримання такої згоди (у випадку заперечення власника), орган виконавчої влади чи орган  місцевого самоврядування може звернутися до адміністративного суду з позовом про примусове відчуження відповідного об’єкту (Майна). Однак, як згадувалося вище, перелік підстав (суспільні потреби та </w:t>
      </w:r>
      <w:r w:rsidRPr="000D5322">
        <w:rPr>
          <w:rFonts w:ascii="Times New Roman" w:eastAsia="Calibri" w:hAnsi="Times New Roman"/>
          <w:sz w:val="26"/>
          <w:szCs w:val="26"/>
          <w:lang w:val="uk-UA"/>
        </w:rPr>
        <w:lastRenderedPageBreak/>
        <w:t>суспільна необхідність), при яких допускається викуп та примусове відчуження, є доволі обмеженим і не включає більшіст</w:t>
      </w:r>
      <w:r>
        <w:rPr>
          <w:rFonts w:ascii="Times New Roman" w:eastAsia="Calibri" w:hAnsi="Times New Roman"/>
          <w:sz w:val="26"/>
          <w:szCs w:val="26"/>
          <w:lang w:val="uk-UA"/>
        </w:rPr>
        <w:t>ь компонентів проекту “розумного міста</w:t>
      </w:r>
      <w:r w:rsidRPr="000D5322">
        <w:rPr>
          <w:rFonts w:ascii="Times New Roman" w:eastAsia="Calibri" w:hAnsi="Times New Roman"/>
          <w:sz w:val="26"/>
          <w:szCs w:val="26"/>
          <w:lang w:val="uk-UA"/>
        </w:rPr>
        <w:t xml:space="preserve">”. </w:t>
      </w:r>
    </w:p>
    <w:p w:rsidR="008E4733" w:rsidRDefault="008E4733" w:rsidP="008E4733">
      <w:pPr>
        <w:contextualSpacing/>
        <w:rPr>
          <w:rFonts w:ascii="Times New Roman" w:eastAsia="Calibri" w:hAnsi="Times New Roman"/>
          <w:sz w:val="26"/>
          <w:szCs w:val="26"/>
          <w:lang w:val="uk-UA"/>
        </w:rPr>
      </w:pPr>
      <w:r w:rsidRPr="000D5322">
        <w:rPr>
          <w:rFonts w:ascii="Times New Roman" w:eastAsia="Calibri" w:hAnsi="Times New Roman"/>
          <w:sz w:val="26"/>
          <w:szCs w:val="26"/>
          <w:lang w:val="uk-UA"/>
        </w:rPr>
        <w:t>•</w:t>
      </w:r>
      <w:r w:rsidRPr="000D5322">
        <w:rPr>
          <w:rFonts w:ascii="Times New Roman" w:eastAsia="Calibri" w:hAnsi="Times New Roman"/>
          <w:sz w:val="26"/>
          <w:szCs w:val="26"/>
          <w:lang w:val="uk-UA"/>
        </w:rPr>
        <w:tab/>
        <w:t xml:space="preserve">Якщо на земельній ділянці приватної власності, яка підлягає викупу або примусовому відчуженню, знаходяться багаторічні насадження, вартість цих насаджень повинна бути відшкодована власникові такої земельної ділянки. </w:t>
      </w:r>
    </w:p>
    <w:p w:rsidR="008E4733" w:rsidRDefault="008E4733" w:rsidP="008E4733">
      <w:pPr>
        <w:contextualSpacing/>
        <w:rPr>
          <w:rFonts w:ascii="Times New Roman" w:eastAsia="Calibri" w:hAnsi="Times New Roman"/>
          <w:sz w:val="26"/>
          <w:szCs w:val="26"/>
          <w:lang w:val="uk-UA"/>
        </w:rPr>
      </w:pPr>
      <w:r w:rsidRPr="000D5322">
        <w:rPr>
          <w:rFonts w:ascii="Times New Roman" w:eastAsia="Calibri" w:hAnsi="Times New Roman"/>
          <w:sz w:val="26"/>
          <w:szCs w:val="26"/>
          <w:lang w:val="uk-UA"/>
        </w:rPr>
        <w:t>•</w:t>
      </w:r>
      <w:r w:rsidRPr="000D5322">
        <w:rPr>
          <w:rFonts w:ascii="Times New Roman" w:eastAsia="Calibri" w:hAnsi="Times New Roman"/>
          <w:sz w:val="26"/>
          <w:szCs w:val="26"/>
          <w:lang w:val="uk-UA"/>
        </w:rPr>
        <w:tab/>
        <w:t xml:space="preserve">Ціна кожного об’єкта Майна, яке передбачається викупити (для суспільних потреб) або примусово відчужити (з мотивів суспільної необхідності), визначається на підставі експертної оцінки такого Майна. Законодавство дозволяє, що власнику Майна, яке підлягає викупу або примусовому відчуженню, може бути передано у власність іншу земельну ділянку, інші об'єкти нерухомого майна еквівалентної вартості. </w:t>
      </w:r>
    </w:p>
    <w:p w:rsidR="008E4733" w:rsidRDefault="008E4733" w:rsidP="008E4733">
      <w:pPr>
        <w:contextualSpacing/>
        <w:rPr>
          <w:rFonts w:ascii="Times New Roman" w:eastAsia="Calibri" w:hAnsi="Times New Roman"/>
          <w:sz w:val="26"/>
          <w:szCs w:val="26"/>
          <w:lang w:val="uk-UA"/>
        </w:rPr>
      </w:pPr>
      <w:r w:rsidRPr="007B2BEE">
        <w:rPr>
          <w:rFonts w:ascii="Times New Roman" w:eastAsia="Calibri" w:hAnsi="Times New Roman"/>
          <w:b/>
          <w:sz w:val="26"/>
          <w:szCs w:val="26"/>
          <w:lang w:val="uk-UA"/>
        </w:rPr>
        <w:t>2. Передача об’єктів нерухомого майна державної власності в комунальну власність Законодавство України передбачає спеціальну процедуру передачі об’єктів нерухомого майна з державної власності в комунальну власність</w:t>
      </w:r>
      <w:r w:rsidRPr="000D5322">
        <w:rPr>
          <w:rFonts w:ascii="Times New Roman" w:eastAsia="Calibri" w:hAnsi="Times New Roman"/>
          <w:sz w:val="26"/>
          <w:szCs w:val="26"/>
          <w:lang w:val="uk-UA"/>
        </w:rPr>
        <w:t>. Основні аспекти такої процедури наведені нижче: •</w:t>
      </w:r>
      <w:r w:rsidRPr="000D5322">
        <w:rPr>
          <w:rFonts w:ascii="Times New Roman" w:eastAsia="Calibri" w:hAnsi="Times New Roman"/>
          <w:sz w:val="26"/>
          <w:szCs w:val="26"/>
          <w:lang w:val="uk-UA"/>
        </w:rPr>
        <w:tab/>
      </w:r>
    </w:p>
    <w:p w:rsidR="008E4733" w:rsidRDefault="008E4733" w:rsidP="008E4733">
      <w:pPr>
        <w:contextualSpacing/>
        <w:rPr>
          <w:rFonts w:ascii="Times New Roman" w:eastAsia="Calibri" w:hAnsi="Times New Roman"/>
          <w:sz w:val="26"/>
          <w:szCs w:val="26"/>
          <w:lang w:val="uk-UA"/>
        </w:rPr>
      </w:pPr>
      <w:r w:rsidRPr="000D5322">
        <w:rPr>
          <w:rFonts w:ascii="Times New Roman" w:eastAsia="Calibri" w:hAnsi="Times New Roman"/>
          <w:sz w:val="26"/>
          <w:szCs w:val="26"/>
          <w:lang w:val="uk-UA"/>
        </w:rPr>
        <w:t xml:space="preserve">Залежно від виду об’єктів нерухомого майна державної власності, вони передаються в комунальну власність за рішенням Кабінету Міністрів України або відповідного державного органу, уповноваженого розпоряджатися такими об’єктами. При цьому, законодавство не зобов’язує Кабінет Міністрів України або відповідні органи державної влади приймати такі рішення, тому вони можуть відмовитися передавати державні об’єкти нерухомого майна в комунальну власність. </w:t>
      </w:r>
    </w:p>
    <w:p w:rsidR="008E4733" w:rsidRDefault="008E4733" w:rsidP="008E4733">
      <w:pPr>
        <w:contextualSpacing/>
        <w:rPr>
          <w:rFonts w:ascii="Times New Roman" w:eastAsia="Calibri" w:hAnsi="Times New Roman"/>
          <w:sz w:val="26"/>
          <w:szCs w:val="26"/>
          <w:lang w:val="uk-UA"/>
        </w:rPr>
      </w:pPr>
      <w:r w:rsidRPr="000D5322">
        <w:rPr>
          <w:rFonts w:ascii="Times New Roman" w:eastAsia="Calibri" w:hAnsi="Times New Roman"/>
          <w:sz w:val="26"/>
          <w:szCs w:val="26"/>
          <w:lang w:val="uk-UA"/>
        </w:rPr>
        <w:t>•</w:t>
      </w:r>
      <w:r w:rsidRPr="000D5322">
        <w:rPr>
          <w:rFonts w:ascii="Times New Roman" w:eastAsia="Calibri" w:hAnsi="Times New Roman"/>
          <w:sz w:val="26"/>
          <w:szCs w:val="26"/>
          <w:lang w:val="uk-UA"/>
        </w:rPr>
        <w:tab/>
        <w:t>Передача об’єктів нерухомого майна державної власності підлягає затвердженню також Міністерством фінансів, Міністерством економіки, Фондом державного майна та іншими державними органами (наприклад, Міністерством освіти, якщо з державної до комунальної власності передається майно закладу освіти), а також потребує згоди державного підприємства, за яким закріплені такі об’єкти нерухомого майна. Якщо об’єкт нерухомого майна споруджено за кошти державного підприємства, передача також потребує згоди трудового колективу такого підприємства.</w:t>
      </w:r>
    </w:p>
    <w:p w:rsidR="008E4733" w:rsidRDefault="008E4733" w:rsidP="008E4733">
      <w:pPr>
        <w:contextualSpacing/>
        <w:rPr>
          <w:rFonts w:ascii="Times New Roman" w:eastAsia="Calibri" w:hAnsi="Times New Roman"/>
          <w:sz w:val="26"/>
          <w:szCs w:val="26"/>
          <w:lang w:val="uk-UA"/>
        </w:rPr>
      </w:pPr>
      <w:r w:rsidRPr="000D5322">
        <w:rPr>
          <w:rFonts w:ascii="Times New Roman" w:eastAsia="Calibri" w:hAnsi="Times New Roman"/>
          <w:sz w:val="26"/>
          <w:szCs w:val="26"/>
          <w:lang w:val="uk-UA"/>
        </w:rPr>
        <w:t xml:space="preserve"> •</w:t>
      </w:r>
      <w:r w:rsidRPr="000D5322">
        <w:rPr>
          <w:rFonts w:ascii="Times New Roman" w:eastAsia="Calibri" w:hAnsi="Times New Roman"/>
          <w:sz w:val="26"/>
          <w:szCs w:val="26"/>
          <w:lang w:val="uk-UA"/>
        </w:rPr>
        <w:tab/>
        <w:t xml:space="preserve">Не допускається передача таких об‘єктів з державної в комунальну власність: (i) цілісні майнові комплекси підприємств, що провадять певні </w:t>
      </w:r>
      <w:r w:rsidRPr="000D5322">
        <w:rPr>
          <w:rFonts w:ascii="Times New Roman" w:eastAsia="Calibri" w:hAnsi="Times New Roman"/>
          <w:sz w:val="26"/>
          <w:szCs w:val="26"/>
          <w:lang w:val="uk-UA"/>
        </w:rPr>
        <w:lastRenderedPageBreak/>
        <w:t>спеціальні види діяльності (наприклад, виробництво психотропних речовин), (</w:t>
      </w:r>
      <w:proofErr w:type="spellStart"/>
      <w:r w:rsidRPr="000D5322">
        <w:rPr>
          <w:rFonts w:ascii="Times New Roman" w:eastAsia="Calibri" w:hAnsi="Times New Roman"/>
          <w:sz w:val="26"/>
          <w:szCs w:val="26"/>
          <w:lang w:val="uk-UA"/>
        </w:rPr>
        <w:t>ii</w:t>
      </w:r>
      <w:proofErr w:type="spellEnd"/>
      <w:r w:rsidRPr="000D5322">
        <w:rPr>
          <w:rFonts w:ascii="Times New Roman" w:eastAsia="Calibri" w:hAnsi="Times New Roman"/>
          <w:sz w:val="26"/>
          <w:szCs w:val="26"/>
          <w:lang w:val="uk-UA"/>
        </w:rPr>
        <w:t>) цілісні майнові комплекси казенних підприємств, (</w:t>
      </w:r>
      <w:proofErr w:type="spellStart"/>
      <w:r w:rsidRPr="000D5322">
        <w:rPr>
          <w:rFonts w:ascii="Times New Roman" w:eastAsia="Calibri" w:hAnsi="Times New Roman"/>
          <w:sz w:val="26"/>
          <w:szCs w:val="26"/>
          <w:lang w:val="uk-UA"/>
        </w:rPr>
        <w:t>iii</w:t>
      </w:r>
      <w:proofErr w:type="spellEnd"/>
      <w:r w:rsidRPr="000D5322">
        <w:rPr>
          <w:rFonts w:ascii="Times New Roman" w:eastAsia="Calibri" w:hAnsi="Times New Roman"/>
          <w:sz w:val="26"/>
          <w:szCs w:val="26"/>
          <w:lang w:val="uk-UA"/>
        </w:rPr>
        <w:t>) об’єкти, право власності на які незареєстроване, (</w:t>
      </w:r>
      <w:proofErr w:type="spellStart"/>
      <w:r w:rsidRPr="000D5322">
        <w:rPr>
          <w:rFonts w:ascii="Times New Roman" w:eastAsia="Calibri" w:hAnsi="Times New Roman"/>
          <w:sz w:val="26"/>
          <w:szCs w:val="26"/>
          <w:lang w:val="uk-UA"/>
        </w:rPr>
        <w:t>iv</w:t>
      </w:r>
      <w:proofErr w:type="spellEnd"/>
      <w:r w:rsidRPr="000D5322">
        <w:rPr>
          <w:rFonts w:ascii="Times New Roman" w:eastAsia="Calibri" w:hAnsi="Times New Roman"/>
          <w:sz w:val="26"/>
          <w:szCs w:val="26"/>
          <w:lang w:val="uk-UA"/>
        </w:rPr>
        <w:t xml:space="preserve">) об’єкти, будівництво яких фактично продовжується за рахунок державних капітальних вкладень, до введення їх в експлуатацію; (v) об’єкти, щодо яких є відповідне рішення про їх приватизацію. </w:t>
      </w:r>
    </w:p>
    <w:p w:rsidR="008E4733" w:rsidRDefault="008E4733" w:rsidP="008E4733">
      <w:pPr>
        <w:contextualSpacing/>
        <w:rPr>
          <w:rFonts w:ascii="Times New Roman" w:eastAsia="Calibri" w:hAnsi="Times New Roman"/>
          <w:sz w:val="26"/>
          <w:szCs w:val="26"/>
          <w:lang w:val="uk-UA"/>
        </w:rPr>
      </w:pPr>
      <w:r w:rsidRPr="000D5322">
        <w:rPr>
          <w:rFonts w:ascii="Times New Roman" w:eastAsia="Calibri" w:hAnsi="Times New Roman"/>
          <w:sz w:val="26"/>
          <w:szCs w:val="26"/>
          <w:lang w:val="uk-UA"/>
        </w:rPr>
        <w:t>•</w:t>
      </w:r>
      <w:r w:rsidRPr="000D5322">
        <w:rPr>
          <w:rFonts w:ascii="Times New Roman" w:eastAsia="Calibri" w:hAnsi="Times New Roman"/>
          <w:sz w:val="26"/>
          <w:szCs w:val="26"/>
          <w:lang w:val="uk-UA"/>
        </w:rPr>
        <w:tab/>
        <w:t xml:space="preserve">В законодавстві перелічено певні об’єкти нерухомого майна, які можуть бути передані з державної в комунальну власність лише за умови взяття органами місцевого самоврядування зобов’язання використовувати за цільовим призначенням і не відчужувати в приватну власність такі об‘єкти. </w:t>
      </w:r>
    </w:p>
    <w:p w:rsidR="008E4733" w:rsidRDefault="008E4733" w:rsidP="008E4733">
      <w:pPr>
        <w:contextualSpacing/>
        <w:rPr>
          <w:rFonts w:ascii="Times New Roman" w:eastAsia="Calibri" w:hAnsi="Times New Roman"/>
          <w:sz w:val="26"/>
          <w:szCs w:val="26"/>
          <w:lang w:val="uk-UA"/>
        </w:rPr>
      </w:pPr>
      <w:r w:rsidRPr="000D5322">
        <w:rPr>
          <w:rFonts w:ascii="Times New Roman" w:eastAsia="Calibri" w:hAnsi="Times New Roman"/>
          <w:sz w:val="26"/>
          <w:szCs w:val="26"/>
          <w:lang w:val="uk-UA"/>
        </w:rPr>
        <w:t>•</w:t>
      </w:r>
      <w:r w:rsidRPr="000D5322">
        <w:rPr>
          <w:rFonts w:ascii="Times New Roman" w:eastAsia="Calibri" w:hAnsi="Times New Roman"/>
          <w:sz w:val="26"/>
          <w:szCs w:val="26"/>
          <w:lang w:val="uk-UA"/>
        </w:rPr>
        <w:tab/>
        <w:t>Якщо передбачається знесення об’єкту державного або комунального житлового фонду у  зв’язку з реалізацією проекту "</w:t>
      </w:r>
      <w:r>
        <w:rPr>
          <w:rFonts w:ascii="Times New Roman" w:eastAsia="Calibri" w:hAnsi="Times New Roman"/>
          <w:sz w:val="26"/>
          <w:szCs w:val="26"/>
          <w:lang w:val="uk-UA"/>
        </w:rPr>
        <w:t>розумне місто</w:t>
      </w:r>
      <w:r w:rsidRPr="000D5322">
        <w:rPr>
          <w:rFonts w:ascii="Times New Roman" w:eastAsia="Calibri" w:hAnsi="Times New Roman"/>
          <w:sz w:val="26"/>
          <w:szCs w:val="26"/>
          <w:lang w:val="uk-UA"/>
        </w:rPr>
        <w:t xml:space="preserve">", мешканці таких житлових об’єктів мають бути виселені. Згідно з законодавством України виселення може бути або добровільним (на підставі згоди мешканця) або примусовим (на підставі судового рішення). В обох випадках громадянам, який виселяють з жилих приміщень, одночасно надається інше жиле приміщення, з дотриманням вимог, передбачених житловим законодавством. </w:t>
      </w:r>
    </w:p>
    <w:p w:rsidR="008E4733" w:rsidRDefault="008E4733" w:rsidP="008E4733">
      <w:pPr>
        <w:contextualSpacing/>
        <w:rPr>
          <w:rFonts w:ascii="Times New Roman" w:eastAsia="Calibri" w:hAnsi="Times New Roman"/>
          <w:sz w:val="26"/>
          <w:szCs w:val="26"/>
          <w:lang w:val="uk-UA"/>
        </w:rPr>
      </w:pPr>
      <w:r w:rsidRPr="007B2BEE">
        <w:rPr>
          <w:rFonts w:ascii="Times New Roman" w:eastAsia="Calibri" w:hAnsi="Times New Roman"/>
          <w:b/>
          <w:sz w:val="26"/>
          <w:szCs w:val="26"/>
          <w:lang w:val="uk-UA"/>
        </w:rPr>
        <w:t>3. Припинення угод про користування державними/комунальними землями Двома основними правовими титулами, за якими державні та комунальні землі передаються в користування, є право оренди землі та право постійного користування землею.</w:t>
      </w:r>
    </w:p>
    <w:p w:rsidR="008E4733" w:rsidRDefault="008E4733" w:rsidP="008E4733">
      <w:pPr>
        <w:contextualSpacing/>
        <w:rPr>
          <w:rFonts w:ascii="Times New Roman" w:eastAsia="Calibri" w:hAnsi="Times New Roman"/>
          <w:sz w:val="26"/>
          <w:szCs w:val="26"/>
          <w:lang w:val="uk-UA"/>
        </w:rPr>
      </w:pPr>
      <w:r w:rsidRPr="007B2BEE">
        <w:rPr>
          <w:rFonts w:ascii="Times New Roman" w:eastAsia="Calibri" w:hAnsi="Times New Roman"/>
          <w:sz w:val="26"/>
          <w:szCs w:val="26"/>
          <w:lang w:val="uk-UA"/>
        </w:rPr>
        <w:t xml:space="preserve"> </w:t>
      </w:r>
      <w:r w:rsidRPr="000D5322">
        <w:rPr>
          <w:rFonts w:ascii="Times New Roman" w:eastAsia="Calibri" w:hAnsi="Times New Roman"/>
          <w:sz w:val="26"/>
          <w:szCs w:val="26"/>
          <w:lang w:val="uk-UA"/>
        </w:rPr>
        <w:t>Основні питання щодо припинення таких титулів у зв’язку з проектом "</w:t>
      </w:r>
      <w:r>
        <w:rPr>
          <w:rFonts w:ascii="Times New Roman" w:eastAsia="Calibri" w:hAnsi="Times New Roman"/>
          <w:sz w:val="26"/>
          <w:szCs w:val="26"/>
          <w:lang w:val="uk-UA"/>
        </w:rPr>
        <w:t>розумне місто</w:t>
      </w:r>
      <w:r w:rsidRPr="000D5322">
        <w:rPr>
          <w:rFonts w:ascii="Times New Roman" w:eastAsia="Calibri" w:hAnsi="Times New Roman"/>
          <w:sz w:val="26"/>
          <w:szCs w:val="26"/>
          <w:lang w:val="uk-UA"/>
        </w:rPr>
        <w:t xml:space="preserve">" коротко викладено нижче. Припинення договорів оренди землі </w:t>
      </w:r>
    </w:p>
    <w:p w:rsidR="008E4733" w:rsidRDefault="008E4733" w:rsidP="008E4733">
      <w:pPr>
        <w:contextualSpacing/>
        <w:rPr>
          <w:rFonts w:ascii="Times New Roman" w:eastAsia="Calibri" w:hAnsi="Times New Roman"/>
          <w:sz w:val="26"/>
          <w:szCs w:val="26"/>
          <w:lang w:val="uk-UA"/>
        </w:rPr>
      </w:pPr>
      <w:r w:rsidRPr="000D5322">
        <w:rPr>
          <w:rFonts w:ascii="Times New Roman" w:eastAsia="Calibri" w:hAnsi="Times New Roman"/>
          <w:sz w:val="26"/>
          <w:szCs w:val="26"/>
          <w:lang w:val="uk-UA"/>
        </w:rPr>
        <w:t>•</w:t>
      </w:r>
      <w:r w:rsidRPr="000D5322">
        <w:rPr>
          <w:rFonts w:ascii="Times New Roman" w:eastAsia="Calibri" w:hAnsi="Times New Roman"/>
          <w:sz w:val="26"/>
          <w:szCs w:val="26"/>
          <w:lang w:val="uk-UA"/>
        </w:rPr>
        <w:tab/>
        <w:t>Згідно з законодавством України викуп або примусове відчуження земельної ділянки, яка перебуває в оренді, для суспільних потреб чи з мотивів суспільної необхідності, призводить до припинення договору оренди такої земельної ділянки. Однак, таке положення застосовується до земель приватної власності (які можуть бути предметом викупу або примусового відчуження), в той же час, не існує аналогічного положення щодо земель державної та комунальної власності, що передані в оренду приватним особам. Таким чином, договори оренди земель державної та комунальної власності мають бути припинені на загальних</w:t>
      </w:r>
      <w:r w:rsidRPr="000D5322">
        <w:rPr>
          <w:rFonts w:ascii="Times New Roman" w:eastAsia="Calibri" w:hAnsi="Times New Roman"/>
          <w:sz w:val="26"/>
          <w:szCs w:val="26"/>
          <w:lang w:val="uk-UA"/>
        </w:rPr>
        <w:tab/>
        <w:t>підставах відповідно до законодавства України щодо оренди землі. Зокрема, що стосується проекту "</w:t>
      </w:r>
      <w:r>
        <w:rPr>
          <w:rFonts w:ascii="Times New Roman" w:eastAsia="Calibri" w:hAnsi="Times New Roman"/>
          <w:sz w:val="26"/>
          <w:szCs w:val="26"/>
          <w:lang w:val="uk-UA"/>
        </w:rPr>
        <w:t>розумне місто</w:t>
      </w:r>
      <w:r w:rsidRPr="000D5322">
        <w:rPr>
          <w:rFonts w:ascii="Times New Roman" w:eastAsia="Calibri" w:hAnsi="Times New Roman"/>
          <w:sz w:val="26"/>
          <w:szCs w:val="26"/>
          <w:lang w:val="uk-UA"/>
        </w:rPr>
        <w:t xml:space="preserve">", договір оренди землі припиняється у </w:t>
      </w:r>
      <w:r w:rsidRPr="000D5322">
        <w:rPr>
          <w:rFonts w:ascii="Times New Roman" w:eastAsia="Calibri" w:hAnsi="Times New Roman"/>
          <w:sz w:val="26"/>
          <w:szCs w:val="26"/>
          <w:lang w:val="uk-UA"/>
        </w:rPr>
        <w:lastRenderedPageBreak/>
        <w:t xml:space="preserve">випадку набуття права власності на житловий будинок, будівлю або споруду, що розташовані на орендованій іншою особою земельній ділянці (наприклад, у випадку, якщо об’єкт нерухомого майна викуповується для суспільний потреб або відчужується примусово з мотивів суспільної необхідності). </w:t>
      </w:r>
    </w:p>
    <w:p w:rsidR="008E4733" w:rsidRDefault="008E4733" w:rsidP="008E4733">
      <w:pPr>
        <w:contextualSpacing/>
        <w:rPr>
          <w:rFonts w:ascii="Times New Roman" w:eastAsia="Calibri" w:hAnsi="Times New Roman"/>
          <w:sz w:val="26"/>
          <w:szCs w:val="26"/>
          <w:lang w:val="uk-UA"/>
        </w:rPr>
      </w:pPr>
      <w:r w:rsidRPr="000D5322">
        <w:rPr>
          <w:rFonts w:ascii="Times New Roman" w:eastAsia="Calibri" w:hAnsi="Times New Roman"/>
          <w:sz w:val="26"/>
          <w:szCs w:val="26"/>
          <w:lang w:val="uk-UA"/>
        </w:rPr>
        <w:t>•</w:t>
      </w:r>
      <w:r w:rsidRPr="000D5322">
        <w:rPr>
          <w:rFonts w:ascii="Times New Roman" w:eastAsia="Calibri" w:hAnsi="Times New Roman"/>
          <w:sz w:val="26"/>
          <w:szCs w:val="26"/>
          <w:lang w:val="uk-UA"/>
        </w:rPr>
        <w:tab/>
        <w:t>Інші загальні випадки припинення (напр., ліквідація юридичної особи-орендатора, закінчення строку оренди тощо) практично не можуть бути застосовані для припинення права оренди землі в рамках проекту "</w:t>
      </w:r>
      <w:r>
        <w:rPr>
          <w:rFonts w:ascii="Times New Roman" w:eastAsia="Calibri" w:hAnsi="Times New Roman"/>
          <w:sz w:val="26"/>
          <w:szCs w:val="26"/>
          <w:lang w:val="uk-UA"/>
        </w:rPr>
        <w:t>розумне місто</w:t>
      </w:r>
      <w:r w:rsidRPr="000D5322">
        <w:rPr>
          <w:rFonts w:ascii="Times New Roman" w:eastAsia="Calibri" w:hAnsi="Times New Roman"/>
          <w:sz w:val="26"/>
          <w:szCs w:val="26"/>
          <w:lang w:val="uk-UA"/>
        </w:rPr>
        <w:t>".</w:t>
      </w:r>
    </w:p>
    <w:p w:rsidR="008E4733" w:rsidRDefault="008E4733" w:rsidP="008E4733">
      <w:pPr>
        <w:contextualSpacing/>
        <w:rPr>
          <w:rFonts w:ascii="Times New Roman" w:eastAsia="Calibri" w:hAnsi="Times New Roman"/>
          <w:sz w:val="26"/>
          <w:szCs w:val="26"/>
          <w:lang w:val="uk-UA"/>
        </w:rPr>
      </w:pPr>
      <w:r w:rsidRPr="000D5322">
        <w:rPr>
          <w:rFonts w:ascii="Times New Roman" w:eastAsia="Calibri" w:hAnsi="Times New Roman"/>
          <w:sz w:val="26"/>
          <w:szCs w:val="26"/>
          <w:lang w:val="uk-UA"/>
        </w:rPr>
        <w:t xml:space="preserve"> •</w:t>
      </w:r>
      <w:r w:rsidRPr="000D5322">
        <w:rPr>
          <w:rFonts w:ascii="Times New Roman" w:eastAsia="Calibri" w:hAnsi="Times New Roman"/>
          <w:sz w:val="26"/>
          <w:szCs w:val="26"/>
          <w:lang w:val="uk-UA"/>
        </w:rPr>
        <w:tab/>
        <w:t>Київська міська рада (у якості орендодавця) може запропонувати орендареві припинити договір оренди земельної ділянки за згодою сторін (напр., при наданні рівноцінної земельної ділянки такому орендаторові). •</w:t>
      </w:r>
      <w:r w:rsidRPr="000D5322">
        <w:rPr>
          <w:rFonts w:ascii="Times New Roman" w:eastAsia="Calibri" w:hAnsi="Times New Roman"/>
          <w:sz w:val="26"/>
          <w:szCs w:val="26"/>
          <w:lang w:val="uk-UA"/>
        </w:rPr>
        <w:tab/>
        <w:t>Якщо орендатор відмовляється припинити договір оренди, Київська міська рада може звернутися до суду з позовом про припинення договору оренди землі. Хоча за законодавством України такий позов повинен ґрунтуватися на порушенні договірних зобов’язань з боку орендаря, однак, міська рада може посилатися на суспільні потреби або мотиви суспільної необхідності, як підставу для припинення договору оренди. Хоча законодавством України прямо не встановлено, що договір оренди землі припиняється за таких обставин, ми не виключаємо, що суд може прийняти таке обґрунтування позову про припинення договору оренди за аналогією закону. Разом з тим, прийняття судом рішення на користь міської ради не може бути гарантоване</w:t>
      </w:r>
      <w:r>
        <w:rPr>
          <w:rFonts w:ascii="Times New Roman" w:eastAsia="Calibri" w:hAnsi="Times New Roman"/>
          <w:sz w:val="26"/>
          <w:szCs w:val="26"/>
          <w:lang w:val="uk-UA"/>
        </w:rPr>
        <w:t xml:space="preserve"> </w:t>
      </w:r>
      <w:r w:rsidRPr="000D5322">
        <w:rPr>
          <w:rFonts w:ascii="Times New Roman" w:eastAsia="Calibri" w:hAnsi="Times New Roman"/>
          <w:sz w:val="26"/>
          <w:szCs w:val="26"/>
          <w:lang w:val="uk-UA"/>
        </w:rPr>
        <w:t>Вилучення земельної ділянки з постійного користування</w:t>
      </w:r>
    </w:p>
    <w:p w:rsidR="008E4733" w:rsidRDefault="008E4733" w:rsidP="008E4733">
      <w:pPr>
        <w:contextualSpacing/>
        <w:rPr>
          <w:rFonts w:ascii="Times New Roman" w:eastAsia="Calibri" w:hAnsi="Times New Roman"/>
          <w:sz w:val="26"/>
          <w:szCs w:val="26"/>
          <w:lang w:val="uk-UA"/>
        </w:rPr>
      </w:pPr>
      <w:r w:rsidRPr="000D5322">
        <w:rPr>
          <w:rFonts w:ascii="Times New Roman" w:eastAsia="Calibri" w:hAnsi="Times New Roman"/>
          <w:sz w:val="26"/>
          <w:szCs w:val="26"/>
          <w:lang w:val="uk-UA"/>
        </w:rPr>
        <w:t xml:space="preserve"> •</w:t>
      </w:r>
      <w:r w:rsidRPr="000D5322">
        <w:rPr>
          <w:rFonts w:ascii="Times New Roman" w:eastAsia="Calibri" w:hAnsi="Times New Roman"/>
          <w:sz w:val="26"/>
          <w:szCs w:val="26"/>
          <w:lang w:val="uk-UA"/>
        </w:rPr>
        <w:tab/>
        <w:t xml:space="preserve">За загальним правилом, встановленим законодавством України, право постійного користування земельною ділянкою може бути припинено за рішенням Київської міської ради, за умови згоди постійного користувача. </w:t>
      </w:r>
    </w:p>
    <w:p w:rsidR="008E4733" w:rsidRDefault="008E4733" w:rsidP="008E4733">
      <w:pPr>
        <w:contextualSpacing/>
        <w:rPr>
          <w:rFonts w:ascii="Times New Roman" w:eastAsia="Calibri" w:hAnsi="Times New Roman"/>
          <w:sz w:val="26"/>
          <w:szCs w:val="26"/>
          <w:lang w:val="uk-UA"/>
        </w:rPr>
      </w:pPr>
      <w:r w:rsidRPr="000D5322">
        <w:rPr>
          <w:rFonts w:ascii="Times New Roman" w:eastAsia="Calibri" w:hAnsi="Times New Roman"/>
          <w:sz w:val="26"/>
          <w:szCs w:val="26"/>
          <w:lang w:val="uk-UA"/>
        </w:rPr>
        <w:t>•</w:t>
      </w:r>
      <w:r w:rsidRPr="000D5322">
        <w:rPr>
          <w:rFonts w:ascii="Times New Roman" w:eastAsia="Calibri" w:hAnsi="Times New Roman"/>
          <w:sz w:val="26"/>
          <w:szCs w:val="26"/>
          <w:lang w:val="uk-UA"/>
        </w:rPr>
        <w:tab/>
        <w:t>Якщо постійний користувач земельної ділянки заперечує проти вилучення (припинення права постійного користування), законодавство України дає право Київській міській раді звернутися до суду з позовом про примусове вилучення земельної ділянки з постійного користування. Однак, згідно з Земельним кодексом України земельна ділянка може бути вилучена органами виконавчої влади або місцевого самоврядування (напр., Київською міською владою) з для суспільних та інших потреб (напр.., будівництво об’єктів, пов'язаних з обслуговуванням жителів територіальної</w:t>
      </w:r>
      <w:r w:rsidRPr="000D5322">
        <w:rPr>
          <w:rFonts w:ascii="Times New Roman" w:eastAsia="Calibri" w:hAnsi="Times New Roman"/>
          <w:sz w:val="26"/>
          <w:szCs w:val="26"/>
          <w:lang w:val="uk-UA"/>
        </w:rPr>
        <w:tab/>
        <w:t>громади</w:t>
      </w:r>
      <w:r w:rsidRPr="000D5322">
        <w:rPr>
          <w:rFonts w:ascii="Times New Roman" w:eastAsia="Calibri" w:hAnsi="Times New Roman"/>
          <w:sz w:val="26"/>
          <w:szCs w:val="26"/>
          <w:lang w:val="uk-UA"/>
        </w:rPr>
        <w:tab/>
        <w:t xml:space="preserve">певного району). Немає уніфікованого підходу до тлумачення законодавства щодо того, чи дозволяється </w:t>
      </w:r>
      <w:r w:rsidRPr="000D5322">
        <w:rPr>
          <w:rFonts w:ascii="Times New Roman" w:eastAsia="Calibri" w:hAnsi="Times New Roman"/>
          <w:sz w:val="26"/>
          <w:szCs w:val="26"/>
          <w:lang w:val="uk-UA"/>
        </w:rPr>
        <w:lastRenderedPageBreak/>
        <w:t>обґрунтовувати примусове вилучення земельних ділянок з постійного користування для суспільних потреб або з мотивів суспільної необхідності). У зв’язку з цим, не можна виключити, що суд відмовить у такому позові міської ради про вилучення земельної ділянки з постійного користування.</w:t>
      </w:r>
    </w:p>
    <w:p w:rsidR="008E4733" w:rsidRPr="000D5322" w:rsidRDefault="008E4733" w:rsidP="008E4733">
      <w:pPr>
        <w:contextualSpacing/>
        <w:rPr>
          <w:rFonts w:ascii="Times New Roman" w:eastAsia="Calibri" w:hAnsi="Times New Roman"/>
          <w:sz w:val="26"/>
          <w:szCs w:val="26"/>
          <w:lang w:val="uk-UA"/>
        </w:rPr>
      </w:pPr>
      <w:r w:rsidRPr="000D5322">
        <w:rPr>
          <w:rFonts w:ascii="Times New Roman" w:eastAsia="Calibri" w:hAnsi="Times New Roman"/>
          <w:sz w:val="26"/>
          <w:szCs w:val="26"/>
          <w:lang w:val="uk-UA"/>
        </w:rPr>
        <w:t xml:space="preserve"> •</w:t>
      </w:r>
      <w:r w:rsidRPr="000D5322">
        <w:rPr>
          <w:rFonts w:ascii="Times New Roman" w:eastAsia="Calibri" w:hAnsi="Times New Roman"/>
          <w:sz w:val="26"/>
          <w:szCs w:val="26"/>
          <w:lang w:val="uk-UA"/>
        </w:rPr>
        <w:tab/>
        <w:t>Земельним кодексом також передбачаються певні види земельних ділянок (напр., рілля, багаторічні</w:t>
      </w:r>
      <w:r w:rsidRPr="000D5322">
        <w:rPr>
          <w:rFonts w:ascii="Times New Roman" w:eastAsia="Calibri" w:hAnsi="Times New Roman"/>
          <w:sz w:val="26"/>
          <w:szCs w:val="26"/>
          <w:lang w:val="uk-UA"/>
        </w:rPr>
        <w:tab/>
        <w:t>насадження, ліси,</w:t>
      </w:r>
      <w:r w:rsidRPr="000D5322">
        <w:rPr>
          <w:rFonts w:ascii="Times New Roman" w:eastAsia="Calibri" w:hAnsi="Times New Roman"/>
          <w:sz w:val="26"/>
          <w:szCs w:val="26"/>
          <w:lang w:val="uk-UA"/>
        </w:rPr>
        <w:tab/>
        <w:t>земельні ділянки природоохоронного, оздоровчого та рекреаційного призначення), які можуть бути вилучені з постійного користування тільки за рішенням Кабінету Міністрів України.</w:t>
      </w:r>
    </w:p>
    <w:p w:rsidR="00791AC1" w:rsidRDefault="00791AC1">
      <w:bookmarkStart w:id="0" w:name="_GoBack"/>
      <w:bookmarkEnd w:id="0"/>
    </w:p>
    <w:sectPr w:rsidR="00791A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13C46"/>
    <w:multiLevelType w:val="hybridMultilevel"/>
    <w:tmpl w:val="0E52C490"/>
    <w:lvl w:ilvl="0" w:tplc="0E401B1C">
      <w:numFmt w:val="bullet"/>
      <w:lvlText w:val="•"/>
      <w:lvlJc w:val="left"/>
      <w:pPr>
        <w:ind w:left="1789" w:hanging="360"/>
      </w:pPr>
      <w:rPr>
        <w:rFonts w:ascii="Times New Roman" w:eastAsia="Times New Roman" w:hAnsi="Times New Roman" w:cs="Times New Roman" w:hint="default"/>
      </w:rPr>
    </w:lvl>
    <w:lvl w:ilvl="1" w:tplc="04220003" w:tentative="1">
      <w:start w:val="1"/>
      <w:numFmt w:val="bullet"/>
      <w:lvlText w:val="o"/>
      <w:lvlJc w:val="left"/>
      <w:pPr>
        <w:ind w:left="2509" w:hanging="360"/>
      </w:pPr>
      <w:rPr>
        <w:rFonts w:ascii="Courier New" w:hAnsi="Courier New" w:cs="Courier New" w:hint="default"/>
      </w:rPr>
    </w:lvl>
    <w:lvl w:ilvl="2" w:tplc="04220005" w:tentative="1">
      <w:start w:val="1"/>
      <w:numFmt w:val="bullet"/>
      <w:lvlText w:val=""/>
      <w:lvlJc w:val="left"/>
      <w:pPr>
        <w:ind w:left="3229" w:hanging="360"/>
      </w:pPr>
      <w:rPr>
        <w:rFonts w:ascii="Wingdings" w:hAnsi="Wingdings" w:hint="default"/>
      </w:rPr>
    </w:lvl>
    <w:lvl w:ilvl="3" w:tplc="04220001" w:tentative="1">
      <w:start w:val="1"/>
      <w:numFmt w:val="bullet"/>
      <w:lvlText w:val=""/>
      <w:lvlJc w:val="left"/>
      <w:pPr>
        <w:ind w:left="3949" w:hanging="360"/>
      </w:pPr>
      <w:rPr>
        <w:rFonts w:ascii="Symbol" w:hAnsi="Symbol" w:hint="default"/>
      </w:rPr>
    </w:lvl>
    <w:lvl w:ilvl="4" w:tplc="04220003" w:tentative="1">
      <w:start w:val="1"/>
      <w:numFmt w:val="bullet"/>
      <w:lvlText w:val="o"/>
      <w:lvlJc w:val="left"/>
      <w:pPr>
        <w:ind w:left="4669" w:hanging="360"/>
      </w:pPr>
      <w:rPr>
        <w:rFonts w:ascii="Courier New" w:hAnsi="Courier New" w:cs="Courier New" w:hint="default"/>
      </w:rPr>
    </w:lvl>
    <w:lvl w:ilvl="5" w:tplc="04220005" w:tentative="1">
      <w:start w:val="1"/>
      <w:numFmt w:val="bullet"/>
      <w:lvlText w:val=""/>
      <w:lvlJc w:val="left"/>
      <w:pPr>
        <w:ind w:left="5389" w:hanging="360"/>
      </w:pPr>
      <w:rPr>
        <w:rFonts w:ascii="Wingdings" w:hAnsi="Wingdings" w:hint="default"/>
      </w:rPr>
    </w:lvl>
    <w:lvl w:ilvl="6" w:tplc="04220001" w:tentative="1">
      <w:start w:val="1"/>
      <w:numFmt w:val="bullet"/>
      <w:lvlText w:val=""/>
      <w:lvlJc w:val="left"/>
      <w:pPr>
        <w:ind w:left="6109" w:hanging="360"/>
      </w:pPr>
      <w:rPr>
        <w:rFonts w:ascii="Symbol" w:hAnsi="Symbol" w:hint="default"/>
      </w:rPr>
    </w:lvl>
    <w:lvl w:ilvl="7" w:tplc="04220003" w:tentative="1">
      <w:start w:val="1"/>
      <w:numFmt w:val="bullet"/>
      <w:lvlText w:val="o"/>
      <w:lvlJc w:val="left"/>
      <w:pPr>
        <w:ind w:left="6829" w:hanging="360"/>
      </w:pPr>
      <w:rPr>
        <w:rFonts w:ascii="Courier New" w:hAnsi="Courier New" w:cs="Courier New" w:hint="default"/>
      </w:rPr>
    </w:lvl>
    <w:lvl w:ilvl="8" w:tplc="04220005" w:tentative="1">
      <w:start w:val="1"/>
      <w:numFmt w:val="bullet"/>
      <w:lvlText w:val=""/>
      <w:lvlJc w:val="left"/>
      <w:pPr>
        <w:ind w:left="7549" w:hanging="360"/>
      </w:pPr>
      <w:rPr>
        <w:rFonts w:ascii="Wingdings" w:hAnsi="Wingdings" w:hint="default"/>
      </w:rPr>
    </w:lvl>
  </w:abstractNum>
  <w:abstractNum w:abstractNumId="1">
    <w:nsid w:val="308F1D66"/>
    <w:multiLevelType w:val="hybridMultilevel"/>
    <w:tmpl w:val="2EFE4992"/>
    <w:lvl w:ilvl="0" w:tplc="0E401B1C">
      <w:numFmt w:val="bullet"/>
      <w:lvlText w:val="•"/>
      <w:lvlJc w:val="left"/>
      <w:pPr>
        <w:ind w:left="1789" w:hanging="360"/>
      </w:pPr>
      <w:rPr>
        <w:rFonts w:ascii="Times New Roman" w:eastAsia="Times New Roman" w:hAnsi="Times New Roman" w:cs="Times New Roman" w:hint="default"/>
      </w:rPr>
    </w:lvl>
    <w:lvl w:ilvl="1" w:tplc="04220003" w:tentative="1">
      <w:start w:val="1"/>
      <w:numFmt w:val="bullet"/>
      <w:lvlText w:val="o"/>
      <w:lvlJc w:val="left"/>
      <w:pPr>
        <w:ind w:left="2509" w:hanging="360"/>
      </w:pPr>
      <w:rPr>
        <w:rFonts w:ascii="Courier New" w:hAnsi="Courier New" w:cs="Courier New" w:hint="default"/>
      </w:rPr>
    </w:lvl>
    <w:lvl w:ilvl="2" w:tplc="04220005" w:tentative="1">
      <w:start w:val="1"/>
      <w:numFmt w:val="bullet"/>
      <w:lvlText w:val=""/>
      <w:lvlJc w:val="left"/>
      <w:pPr>
        <w:ind w:left="3229" w:hanging="360"/>
      </w:pPr>
      <w:rPr>
        <w:rFonts w:ascii="Wingdings" w:hAnsi="Wingdings" w:hint="default"/>
      </w:rPr>
    </w:lvl>
    <w:lvl w:ilvl="3" w:tplc="04220001" w:tentative="1">
      <w:start w:val="1"/>
      <w:numFmt w:val="bullet"/>
      <w:lvlText w:val=""/>
      <w:lvlJc w:val="left"/>
      <w:pPr>
        <w:ind w:left="3949" w:hanging="360"/>
      </w:pPr>
      <w:rPr>
        <w:rFonts w:ascii="Symbol" w:hAnsi="Symbol" w:hint="default"/>
      </w:rPr>
    </w:lvl>
    <w:lvl w:ilvl="4" w:tplc="04220003" w:tentative="1">
      <w:start w:val="1"/>
      <w:numFmt w:val="bullet"/>
      <w:lvlText w:val="o"/>
      <w:lvlJc w:val="left"/>
      <w:pPr>
        <w:ind w:left="4669" w:hanging="360"/>
      </w:pPr>
      <w:rPr>
        <w:rFonts w:ascii="Courier New" w:hAnsi="Courier New" w:cs="Courier New" w:hint="default"/>
      </w:rPr>
    </w:lvl>
    <w:lvl w:ilvl="5" w:tplc="04220005" w:tentative="1">
      <w:start w:val="1"/>
      <w:numFmt w:val="bullet"/>
      <w:lvlText w:val=""/>
      <w:lvlJc w:val="left"/>
      <w:pPr>
        <w:ind w:left="5389" w:hanging="360"/>
      </w:pPr>
      <w:rPr>
        <w:rFonts w:ascii="Wingdings" w:hAnsi="Wingdings" w:hint="default"/>
      </w:rPr>
    </w:lvl>
    <w:lvl w:ilvl="6" w:tplc="04220001" w:tentative="1">
      <w:start w:val="1"/>
      <w:numFmt w:val="bullet"/>
      <w:lvlText w:val=""/>
      <w:lvlJc w:val="left"/>
      <w:pPr>
        <w:ind w:left="6109" w:hanging="360"/>
      </w:pPr>
      <w:rPr>
        <w:rFonts w:ascii="Symbol" w:hAnsi="Symbol" w:hint="default"/>
      </w:rPr>
    </w:lvl>
    <w:lvl w:ilvl="7" w:tplc="04220003" w:tentative="1">
      <w:start w:val="1"/>
      <w:numFmt w:val="bullet"/>
      <w:lvlText w:val="o"/>
      <w:lvlJc w:val="left"/>
      <w:pPr>
        <w:ind w:left="6829" w:hanging="360"/>
      </w:pPr>
      <w:rPr>
        <w:rFonts w:ascii="Courier New" w:hAnsi="Courier New" w:cs="Courier New" w:hint="default"/>
      </w:rPr>
    </w:lvl>
    <w:lvl w:ilvl="8" w:tplc="04220005" w:tentative="1">
      <w:start w:val="1"/>
      <w:numFmt w:val="bullet"/>
      <w:lvlText w:val=""/>
      <w:lvlJc w:val="left"/>
      <w:pPr>
        <w:ind w:left="7549" w:hanging="360"/>
      </w:pPr>
      <w:rPr>
        <w:rFonts w:ascii="Wingdings" w:hAnsi="Wingdings" w:hint="default"/>
      </w:rPr>
    </w:lvl>
  </w:abstractNum>
  <w:abstractNum w:abstractNumId="2">
    <w:nsid w:val="427962CD"/>
    <w:multiLevelType w:val="hybridMultilevel"/>
    <w:tmpl w:val="4D6817CA"/>
    <w:lvl w:ilvl="0" w:tplc="8730E0B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nsid w:val="702E7217"/>
    <w:multiLevelType w:val="hybridMultilevel"/>
    <w:tmpl w:val="79F881DC"/>
    <w:lvl w:ilvl="0" w:tplc="0E401B1C">
      <w:numFmt w:val="bullet"/>
      <w:lvlText w:val="•"/>
      <w:lvlJc w:val="left"/>
      <w:pPr>
        <w:ind w:left="1789" w:hanging="360"/>
      </w:pPr>
      <w:rPr>
        <w:rFonts w:ascii="Times New Roman" w:eastAsia="Times New Roman" w:hAnsi="Times New Roman" w:cs="Times New Roman" w:hint="default"/>
      </w:rPr>
    </w:lvl>
    <w:lvl w:ilvl="1" w:tplc="04220003" w:tentative="1">
      <w:start w:val="1"/>
      <w:numFmt w:val="bullet"/>
      <w:lvlText w:val="o"/>
      <w:lvlJc w:val="left"/>
      <w:pPr>
        <w:ind w:left="2509" w:hanging="360"/>
      </w:pPr>
      <w:rPr>
        <w:rFonts w:ascii="Courier New" w:hAnsi="Courier New" w:cs="Courier New" w:hint="default"/>
      </w:rPr>
    </w:lvl>
    <w:lvl w:ilvl="2" w:tplc="04220005" w:tentative="1">
      <w:start w:val="1"/>
      <w:numFmt w:val="bullet"/>
      <w:lvlText w:val=""/>
      <w:lvlJc w:val="left"/>
      <w:pPr>
        <w:ind w:left="3229" w:hanging="360"/>
      </w:pPr>
      <w:rPr>
        <w:rFonts w:ascii="Wingdings" w:hAnsi="Wingdings" w:hint="default"/>
      </w:rPr>
    </w:lvl>
    <w:lvl w:ilvl="3" w:tplc="04220001" w:tentative="1">
      <w:start w:val="1"/>
      <w:numFmt w:val="bullet"/>
      <w:lvlText w:val=""/>
      <w:lvlJc w:val="left"/>
      <w:pPr>
        <w:ind w:left="3949" w:hanging="360"/>
      </w:pPr>
      <w:rPr>
        <w:rFonts w:ascii="Symbol" w:hAnsi="Symbol" w:hint="default"/>
      </w:rPr>
    </w:lvl>
    <w:lvl w:ilvl="4" w:tplc="04220003" w:tentative="1">
      <w:start w:val="1"/>
      <w:numFmt w:val="bullet"/>
      <w:lvlText w:val="o"/>
      <w:lvlJc w:val="left"/>
      <w:pPr>
        <w:ind w:left="4669" w:hanging="360"/>
      </w:pPr>
      <w:rPr>
        <w:rFonts w:ascii="Courier New" w:hAnsi="Courier New" w:cs="Courier New" w:hint="default"/>
      </w:rPr>
    </w:lvl>
    <w:lvl w:ilvl="5" w:tplc="04220005" w:tentative="1">
      <w:start w:val="1"/>
      <w:numFmt w:val="bullet"/>
      <w:lvlText w:val=""/>
      <w:lvlJc w:val="left"/>
      <w:pPr>
        <w:ind w:left="5389" w:hanging="360"/>
      </w:pPr>
      <w:rPr>
        <w:rFonts w:ascii="Wingdings" w:hAnsi="Wingdings" w:hint="default"/>
      </w:rPr>
    </w:lvl>
    <w:lvl w:ilvl="6" w:tplc="04220001" w:tentative="1">
      <w:start w:val="1"/>
      <w:numFmt w:val="bullet"/>
      <w:lvlText w:val=""/>
      <w:lvlJc w:val="left"/>
      <w:pPr>
        <w:ind w:left="6109" w:hanging="360"/>
      </w:pPr>
      <w:rPr>
        <w:rFonts w:ascii="Symbol" w:hAnsi="Symbol" w:hint="default"/>
      </w:rPr>
    </w:lvl>
    <w:lvl w:ilvl="7" w:tplc="04220003" w:tentative="1">
      <w:start w:val="1"/>
      <w:numFmt w:val="bullet"/>
      <w:lvlText w:val="o"/>
      <w:lvlJc w:val="left"/>
      <w:pPr>
        <w:ind w:left="6829" w:hanging="360"/>
      </w:pPr>
      <w:rPr>
        <w:rFonts w:ascii="Courier New" w:hAnsi="Courier New" w:cs="Courier New" w:hint="default"/>
      </w:rPr>
    </w:lvl>
    <w:lvl w:ilvl="8" w:tplc="04220005" w:tentative="1">
      <w:start w:val="1"/>
      <w:numFmt w:val="bullet"/>
      <w:lvlText w:val=""/>
      <w:lvlJc w:val="left"/>
      <w:pPr>
        <w:ind w:left="7549"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DBC"/>
    <w:rsid w:val="00791AC1"/>
    <w:rsid w:val="008E4733"/>
    <w:rsid w:val="00E91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733"/>
    <w:pPr>
      <w:spacing w:after="0" w:line="360" w:lineRule="auto"/>
      <w:ind w:firstLine="709"/>
      <w:jc w:val="both"/>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733"/>
    <w:pPr>
      <w:spacing w:after="0" w:line="360" w:lineRule="auto"/>
      <w:ind w:firstLine="709"/>
      <w:jc w:val="both"/>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1635</Words>
  <Characters>9326</Characters>
  <Application>Microsoft Office Word</Application>
  <DocSecurity>0</DocSecurity>
  <Lines>77</Lines>
  <Paragraphs>21</Paragraphs>
  <ScaleCrop>false</ScaleCrop>
  <Company/>
  <LinksUpToDate>false</LinksUpToDate>
  <CharactersWithSpaces>10940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МАН-264</dc:creator>
  <cp:keywords/>
  <dc:description/>
  <cp:lastModifiedBy>МАН-264</cp:lastModifiedBy>
  <cp:revision>2</cp:revision>
  <dcterms:created xsi:type="dcterms:W3CDTF">2013-07-18T08:23:00Z</dcterms:created>
  <dcterms:modified xsi:type="dcterms:W3CDTF">2013-07-18T08:23:00Z</dcterms:modified>
</cp:coreProperties>
</file>