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3.2.3. Варіанти ринкових та конкурентних стратегій та конкурентні переваги інноваційної інфраструктури перед традиційними.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i/>
          <w:sz w:val="28"/>
          <w:szCs w:val="28"/>
          <w:lang w:val="uk-UA"/>
        </w:rPr>
        <w:t xml:space="preserve">Swot-аналіз проекту «Київ-Сіті» 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Сильні сторони: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• Перший масштабний багатофункціональний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у Києві з ключовою офісною складовою.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Ефективно спланований новий район, розроблений із урахувань потреб сталого розвитку, який містить зелені території і створює привабливе середовище для роботи, проживання і розваг.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Високоякісне і скоординоване архітектурне середовище.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Серйозна державна підтримка.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Запропонована концепція базується на потребах ринку і результатах проведеного опитування компаній-орендарів.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Життєздатна з екологічної і фінансової перспектив багатофункціональна забудова із збалансованим співвідношенням житлової і офісної функцій.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Чудове розташування в урбаністичній структурі Києва, потенційно, з можливістю виходу на першу берегову лінію ріки і зручним транспортним сполученням за допомогою метро із Центральним діловим районом міста.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Можливості: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Потенціал проекту привабити головні високоякісних орендарів  і  стати  новим Центральним діловим районом Києва у довгостроковій перспективі.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Можливість позиціонувати Київ на міжнародній карті ділових районів і привабити нових інвесторів.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Структурний дефіцит якісних житлових і офісних приміщень у Києві, який може зберегтися у середній і навіть довгостроковій перспективі.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• Залучення фінансування Європейського Союзу для подальшої роботи над генеральним планом і підготовкою проекту до реалізації, або для створення нового муніципального агентства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проекту.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Слабкі сторони: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• Високі початкові витрати на початкову підготовку ділянки і її інженерне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забезпечення.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Високі затрати і ризик, пов'язаний із консолідацією ділянок і процедурою примусового відчуження для відселення теперішніх користувачів.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• Сприйняття України як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високоризикованої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для інвестицій / теперішній дефіцит інтересу міжнародних інвесторів до ринку нерухомості в Україні.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• Дуже високі очікування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девелоперів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та інвесторів щодо мінімального рівня доходності інвестицій в Україну, що негативно впливає на інвестиційну привабливість довгострокових проектів.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Теперішня відсутність спеціального правового поля для реалізації масштабних містобудівних проектів.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Офісна складова є «слабшою» у проекті, оскільки в теперішніх умовах попит у сегменті і інвестиційний ринок лише починають відновлюватися після кризи, в той час як житлова нерухомість характеризується вищою ліквідністю.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Загрози: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Реалізація масштабного містобудівного проекту вимагає політичної стабільності у державі.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Початковий успіх проекту залежатиме від спроможності залучити у нього високоякісні відомі компанії в якості орендарів / користувачів об’єктів офісної нерухомості.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Додаткове державне фінансування необхідне для будівництва нових громадських споруд (наприклад, музею), який служитиме культурним символом проекту.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З метою оптимізації фінансової доцільності «Київ-Сіті» необхідно на початкових його етапах вивести в проекті збільшені об’єми житла.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Відселення теперішніх користувачів і примусове відчуження пов’язані з високими ризиками.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• Ризик інженерної та комунальної підготовки ділянок з точки зору часових і бюджетних ресурсів.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• Для формування привабливого ділового району для офісних користувачів, проект повинен містити багато закладів інфраструктури (готелі,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спортивні заклади, тощо), які, в свою чергу, потребують критичну масу офісних користувачів для забезпечення їх життєздатності.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РЕКОМЕНДАЦІЇ ЩОДО МАРКЕТИНГОВОЇ І КОМЕРЦІЙНОЇ КОНЦЕПЦІЇ ЗАБУДОВИ ДІЛЯНКИ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Основні висновки з аналізу ринкової доцільності і придатності для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різноманітних об’єктів нерухомості на ділянці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, викладені нижче: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1) Житло: оскільки ділянка є дуже придатною для житлової забудови, а також зважаючи на порівняно сприятливі умови у цьому сегменті ринку, вважається, що житлова нерухомість є найбільш фінансово доцільним типом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на ділянці.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2) Будівництво офісних приміщень, готелів та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конференц-приміщень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з супутньої торгівельною і соціально-побутовою інфраструктурою є також доцільним на ділянці за умови її комплексного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редевелопменту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, беручи до уваги вигідне розташування в структурі міста цієї території та загалом сприятливі ринкові умови.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Для цілей аналізу найкращого і найефективнішого використання ділянки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було зроблене припущення, що існуючі автосалони та супутні магазини, які сьогодні займають площу близько </w:t>
      </w:r>
      <w:smartTag w:uri="urn:schemas-microsoft-com:office:smarttags" w:element="metricconverter">
        <w:smartTagPr>
          <w:attr w:name="ProductID" w:val="8,5668 гектар"/>
        </w:smartTagPr>
        <w:r w:rsidRPr="00C8397D">
          <w:rPr>
            <w:rFonts w:ascii="Times New Roman" w:hAnsi="Times New Roman"/>
            <w:sz w:val="28"/>
            <w:szCs w:val="28"/>
            <w:lang w:val="uk-UA"/>
          </w:rPr>
          <w:t>8,5668 гектар</w:t>
        </w:r>
      </w:smartTag>
      <w:r w:rsidRPr="00C8397D">
        <w:rPr>
          <w:rFonts w:ascii="Times New Roman" w:hAnsi="Times New Roman"/>
          <w:sz w:val="28"/>
          <w:szCs w:val="28"/>
          <w:lang w:val="uk-UA"/>
        </w:rPr>
        <w:t xml:space="preserve"> у фасадній частині вздовж Дніпровської набережної, тут залишаться. Також у північній частині ділянки вздовж Дніпровської набережної продовжиться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багатоквартирного житлового комплексу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RiverStone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(територія близько </w:t>
      </w:r>
      <w:smartTag w:uri="urn:schemas-microsoft-com:office:smarttags" w:element="metricconverter">
        <w:smartTagPr>
          <w:attr w:name="ProductID" w:val="6,3267 гектар"/>
        </w:smartTagPr>
        <w:r w:rsidRPr="00C8397D">
          <w:rPr>
            <w:rFonts w:ascii="Times New Roman" w:hAnsi="Times New Roman"/>
            <w:sz w:val="28"/>
            <w:szCs w:val="28"/>
            <w:lang w:val="uk-UA"/>
          </w:rPr>
          <w:t>6,3267 гектар</w:t>
        </w:r>
      </w:smartTag>
      <w:r w:rsidRPr="00C8397D">
        <w:rPr>
          <w:rFonts w:ascii="Times New Roman" w:hAnsi="Times New Roman"/>
          <w:sz w:val="28"/>
          <w:szCs w:val="28"/>
          <w:lang w:val="uk-UA"/>
        </w:rPr>
        <w:t xml:space="preserve">) та торгівельно-розважального центр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RiverMall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(територія близько </w:t>
      </w:r>
      <w:smartTag w:uri="urn:schemas-microsoft-com:office:smarttags" w:element="metricconverter">
        <w:smartTagPr>
          <w:attr w:name="ProductID" w:val="6,6570 гектар"/>
        </w:smartTagPr>
        <w:r w:rsidRPr="00C8397D">
          <w:rPr>
            <w:rFonts w:ascii="Times New Roman" w:hAnsi="Times New Roman"/>
            <w:sz w:val="28"/>
            <w:szCs w:val="28"/>
            <w:lang w:val="uk-UA"/>
          </w:rPr>
          <w:t>6,6570 гектар</w:t>
        </w:r>
      </w:smartTag>
      <w:r w:rsidRPr="00C8397D">
        <w:rPr>
          <w:rFonts w:ascii="Times New Roman" w:hAnsi="Times New Roman"/>
          <w:sz w:val="28"/>
          <w:szCs w:val="28"/>
          <w:lang w:val="uk-UA"/>
        </w:rPr>
        <w:t>).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На основі оцінки ринкової доцільності будівництва тих чи інших об’єктів нерухомості на ділянці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було розроблено маркетингову концепцію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цієї території.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Ще раз звертаємо Вашу увагу на те, що подані нижче рекомендації базуються на припущенні, що буде здійснений комплексний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редевелопмент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території ділянки з урахуванням необхідності забезпечити ефективне зонування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забудови території щодо функціональної структури і транспортних потоків.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Загальну маркетингову концепцію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ділянки за функціональними складовими: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1) На думку експертів,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житлової нерухомості на ділянці у складі будівель низької, середньої і високої поверховості повинен зосереджуватися поблизу та безпосередньо вздовж набережної ріки Дніпро.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Упродовж 20 років реалізації проекту в рамках забудови ділянки може бути виведено приблизно 1,12 мільйонів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житла низької, середньої і високої щільності або біля 11 200 квартир. По оцінкам експертів, впродовж наступних 20 років на ринку житлової нерухомості в Києві щорічно будуть введенні, в середньому, приблизно 1 мільйон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житла, в той час як деякі житлові площі будуть виведені із житлового фонду, який в кінці цього періоду може потенційно скласти близько 80 мільйонів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. Таким чином, площа потенційної житлової забудови в рамках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ділянки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становитиме приблизно 1,4% від загального об’єму ринку житла в українській столиці.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З точки зору класу і цінового позиціонування, вважається, що на ділянці доцільно створити комбінацію різних типів житла для різних соціальних класів населення, що відповідає сучасним загальноєвропейським підходам щодо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нових міських районів. Дешевше житло можна побудувати на початковому етапі проекту, а на пізніших його етапах створити більш ексклюзивне житло вищої цінової категорії, забезпечивши йому вищу ступінь інтимності і кращий доступ до особливо привабливих частин території, зокрема набережної Дніпра. Особливу увагу необхідно приділити зонуванню житлової забудови на ділянці, - в тому числі, з метою забезпечити необхідну інтимність більш ексклюзивному житлу у проекті, при цьому запобігаючи формування гетто у частинах, де розташоване житло нижчої цінової категорії. Житлові будівлі на ділянці можуть також варіюватися за поверховістю і розміром.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Реомендується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зосередити житлову забудову на ділянці на 1-кімнатних (40-50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), 2-кімнатних (60-70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), 3-кімнатних (75-90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) і 4-кімнатних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 xml:space="preserve">(95-130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) квартирах. Вважаємо, що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паркувальний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коефіцієнт у цій частині забудови повинен складати 1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машиномісце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на кожні 75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житлової площі.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Необхідна супутня торгівельна інфраструктура повинна розміщуватися у житловій забудові на ділянці, переважно у форматі комерційних приміщень на перших поверхах житлових будівель. Серед можливих функцій, наприклад, салони краси, відділення комерційних банків, аптеки, центри позашкільної освіти для дітей і дорослих, невеликі дитячі центри і центри раннього розвитку, тощо. Тут також потрібно передбачити озеленені відпочинкові території загального користування і дитячі майданчики.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Соціально-побутова інфраструктура у житловій забудові на ділянці також повинна містити об’єкти, передбачені Державними будівельними нормами, в тому числі дитячі заклади дошкільної освіти і школи.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Відповідно до попередніх розрахунків у кінцевому рахунку в житловій забудові на ділянці може проживати приблизно 33 700 мешканців.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2) На думку експертів, ділова частина забудови ділянки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у складі ефективних офісних приміщень з торгівельними приміщеннями і закладами харчування на перших поверхах, фітнес центром і приватною клінікою, а також готелем середньої цінової категорії із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конференц-приміщеннями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повинні знаходитися переважно вздовж південної межі ділянки. Таке розташування ділової функції в межах забудови території ділянки є максимально вигідним, оскільки забезпечує пішохідну доступність до станцій метро «Славутич» і «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Осокорки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», а також прекрасну видимість з проспекту Миколи Бажана, що забезпечує проїзд до Міжнародного аеропорту «Бориспіль».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Було підраховано, що впродовж 20-літнього періоду забудови ділянки на ній можуть потенційно бути побудовані офісні приміщення в малоповерхових офісних будівлях загальною орендною площею приблизно 200 000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(GLA). На цьому етапі, зважаючи на історичну динаміку, загальний обсяг ринку офісної нерухомості в українській столиці може потенційно досягнути до 5,5 млн.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. Таким чином, в офісній забудові на ділянці буде розташовано приблизно 4%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загального обсягу сучасних офісних приміщень в українській столиці.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Хоча ділянка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знаходиться за межами існуючого Центрального ділового району Києва, офісна частина її перспективної забудови буде розташована у радіусі до </w:t>
      </w:r>
      <w:smartTag w:uri="urn:schemas-microsoft-com:office:smarttags" w:element="metricconverter">
        <w:smartTagPr>
          <w:attr w:name="ProductID" w:val="700 м"/>
        </w:smartTagPr>
        <w:r w:rsidRPr="00C8397D">
          <w:rPr>
            <w:rFonts w:ascii="Times New Roman" w:hAnsi="Times New Roman"/>
            <w:sz w:val="28"/>
            <w:szCs w:val="28"/>
            <w:lang w:val="uk-UA"/>
          </w:rPr>
          <w:t>700 м</w:t>
        </w:r>
      </w:smartTag>
      <w:r w:rsidRPr="00C8397D">
        <w:rPr>
          <w:rFonts w:ascii="Times New Roman" w:hAnsi="Times New Roman"/>
          <w:sz w:val="28"/>
          <w:szCs w:val="28"/>
          <w:lang w:val="uk-UA"/>
        </w:rPr>
        <w:t xml:space="preserve"> від станції метро і в районі з добрим транспортним сполученням. Зважаючи на теперішні ринкові умови, вимоги орендарів в Києві і необхідність створити привабливий офісний район на ділянці, рекомендується мінімальний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паркувальний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коефіцієнт на рівні показника 1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машиномісце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на 80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чистої орендної офісної площі (NIA) або 100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загальної орендної площі (GLA).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У випадку прийняття відповідного рішення, перспективний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ділянки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триватиме приблизно 20 років до повного завершення. Тому надзвичайно важливо забезпечити прийняття ефективних зважених рішень вже на ранніх етапах планування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цієї території і його функціонального зонування, щоб забезпечити реалізацію найкращого і найефективнішого використання усієї території.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Зважаючи на стратегічне розташування ділянки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в урбаністичній структурі Києва, міській владі необхідно забезпечити ефективний містобудівний контроль забудови цієї території.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Комерційна концепція – оцінка потенційної доходної частини від оперування різноманітних об’єктів нерухомості за типами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Очікується, що наступні чисті орендні ставки і ціни будуть досяжні для різних типів і категорій якісних приміщень у перспективній забудові на ділянці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при умові її комплексного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редевелопменту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Офісні приміщення: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Оцінки стосовно орендних ставок на офісні приміщення та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паркомісця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в офісних будівлях, що перспективно будуть побудовані на ділянці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Осокорків-Північних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, відображають середньозважені ринкові значення орендних ставок на основі оцінки їх оптимістичного та песимістичного значень, що можуть бути досяжними впродовж операційного періоду першої фази проекту, але з урахуванням теперішніх умов ринку.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Таб</w:t>
      </w:r>
      <w:r w:rsidRPr="00C8397D">
        <w:rPr>
          <w:rFonts w:ascii="Times New Roman" w:hAnsi="Times New Roman"/>
          <w:sz w:val="28"/>
          <w:szCs w:val="28"/>
          <w:highlight w:val="yellow"/>
          <w:lang w:val="uk-UA"/>
        </w:rPr>
        <w:t>лиця</w:t>
      </w:r>
      <w:r w:rsidRPr="00C8397D">
        <w:rPr>
          <w:rFonts w:ascii="Times New Roman" w:hAnsi="Times New Roman"/>
          <w:sz w:val="28"/>
          <w:szCs w:val="28"/>
          <w:lang w:val="uk-UA"/>
        </w:rPr>
        <w:t xml:space="preserve">  - Прогнозовані орендні ставки, які в теперішніх ринкових умовах є досяжними для спекулятивних офісних приміщень, розташованих в рамках ефективного офісного проекту на ділянці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9"/>
        <w:gridCol w:w="2460"/>
        <w:gridCol w:w="2479"/>
      </w:tblGrid>
      <w:tr w:rsidR="00DD6703" w:rsidRPr="00C8397D" w:rsidTr="00BA5963">
        <w:tc>
          <w:tcPr>
            <w:tcW w:w="2463" w:type="dxa"/>
            <w:vMerge w:val="restart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Орендна ставка ***, </w:t>
            </w:r>
            <w:r w:rsidRPr="00C8397D">
              <w:rPr>
                <w:rFonts w:ascii="Times New Roman" w:hAnsi="Times New Roman"/>
                <w:sz w:val="28"/>
                <w:szCs w:val="28"/>
                <w:lang w:val="ru-RU"/>
              </w:rPr>
              <w:t>$</w:t>
            </w: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1 </w:t>
            </w:r>
            <w:proofErr w:type="spellStart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місяць (без урахування ПДВ та експлуатаційних платежів)</w:t>
            </w:r>
          </w:p>
        </w:tc>
      </w:tr>
      <w:tr w:rsidR="00DD6703" w:rsidRPr="00C8397D" w:rsidTr="00BA5963">
        <w:tc>
          <w:tcPr>
            <w:tcW w:w="2463" w:type="dxa"/>
            <w:vMerge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Песимістичний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Оптимістичний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Середньозважений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Спекулятивні офісні приміщення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22,5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Критий паркінг для офісних приміщень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</w:tr>
    </w:tbl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 В дужках – питома вага, надана різними оцінками орендних ставок.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**Орендні ставки за оцінками експертів, які базуються на поточних ринкових умовах, що склалися на ринку нерухомості Києва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***Значення орендних ставок в доларах США базуються на офіційному обмінному курсі станом на липень 2012 року, за умови відсутності значних коливань у офіційному курсі.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Незалежно від майбутньої загальної динаміки ринку офісної нерухомості в Києві, очікується подальше поступове зростання орендних ставок в офісних будівлях на ділянці під впливом виключно внутрішніх факторів, таких як комплексний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ділянки та досягнення «критичної маси» забудови.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Слід зауважити, що в прогнозах дотримується консервативний підхід, враховуючи поточні кризові явища і не беручи до уваги структурний дефіцит якісних офісних приміщень на ринку офісної нерухомості Києва, а також його визнаний високий потенціал.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Житло: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Зважаючи на загальну практику, що склалася на ринку житлової нерухомості в Києві, рекомендується здавати житлові будинки в експлуатацію з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квартирами у стані, підготовленому під фінішне оздоблення.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Прогнози доходів від реалізації квартир та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машиномісць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в житлових будинках на ділянці, за умови її комплексного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зроблені на основі наступних припущень стосовно цін продажу квартир за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машиномісць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>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highlight w:val="yellow"/>
          <w:lang w:val="uk-UA"/>
        </w:rPr>
        <w:t>Таблиця</w:t>
      </w:r>
      <w:r w:rsidRPr="00C8397D">
        <w:rPr>
          <w:rFonts w:ascii="Times New Roman" w:hAnsi="Times New Roman"/>
          <w:sz w:val="28"/>
          <w:szCs w:val="28"/>
          <w:lang w:val="uk-UA"/>
        </w:rPr>
        <w:t xml:space="preserve"> - Прогнозовані ціни на квартири та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паркомісця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що можуть бути досяжними в житловій забудові на ділянці, при умові її комплексної регенерації та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редевелопменту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9"/>
        <w:gridCol w:w="2460"/>
        <w:gridCol w:w="2479"/>
      </w:tblGrid>
      <w:tr w:rsidR="00DD6703" w:rsidRPr="00C8397D" w:rsidTr="00BA5963">
        <w:tc>
          <w:tcPr>
            <w:tcW w:w="2463" w:type="dxa"/>
            <w:vMerge w:val="restart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Ціна ***, </w:t>
            </w:r>
            <w:r w:rsidRPr="00C8397D">
              <w:rPr>
                <w:rFonts w:ascii="Times New Roman" w:hAnsi="Times New Roman"/>
                <w:sz w:val="28"/>
                <w:szCs w:val="28"/>
                <w:lang w:val="ru-RU"/>
              </w:rPr>
              <w:t>$</w:t>
            </w: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1 </w:t>
            </w:r>
            <w:proofErr w:type="spellStart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квартир та місця в підземному паркінгу</w:t>
            </w:r>
          </w:p>
        </w:tc>
      </w:tr>
      <w:tr w:rsidR="00DD6703" w:rsidRPr="00C8397D" w:rsidTr="00BA5963">
        <w:tc>
          <w:tcPr>
            <w:tcW w:w="2463" w:type="dxa"/>
            <w:vMerge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Песимістичний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Оптимістичний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Середньозважений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Квартири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1,800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2,100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1,850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Підземний паркінг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18,000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22,000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20,000</w:t>
            </w:r>
          </w:p>
        </w:tc>
      </w:tr>
    </w:tbl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В дужках – питома вага, надана різним оцінкам цін.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**Ціни за оцінками експертів, які базуються на поточних ринкових умовах, що склалися на ринку нерухомості Києва.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***Значення цін в доларах США базуються на офіційному обмінному курсі станом на липень 2012 року, за умови відсутності значних коливань у офіційному курсі.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Незалежно від майбутньої загальної динаміки ринку житлової нерухомості в Києві, яку неможливо коректно спрогнозувати на наступні 20-25 років, ми очікуємо, що ціни на квартири на ділянці, при умові її комплексної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редевелопменту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, будуть зростати в середньому на 3-5% у рік в результаті подальшого розвитку проекту та формування його стійкого сприйняття як привабливого та комфортного житлового району. З огляду на дане припущення, ціни на квартири в проекті можуть досягати показників $3 080-3 600 за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на пізніших стадіях реалізації проекту.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Слід зауважити, що в прогнозах прослідковується дотримання скоріше консервативного підходу, враховуючи поточні кризові явища на ринку та не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беручи до уваги структурний дефіцит якісного житла на ринку житлової нерухомості в Києві, а також високий визнаний потенціал цього сегменту ринку.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Готелі: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Прогнози доходів від продажу готельних номерів базуються на припущеннях щодо середньої вартості номера на добу на рівні $87 за номер у перший рік оперування перспективного 3-зіркового готелю на ділянці. Середня вартість номера на добу у готелі постійно зростатиме до показника $102 за номер на п’ятий рік його роботи.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Доходи від оперування 3-зіркового готелю на ділянці скориговані на прогнозований рівень наповненості номерів, що коливається в різних межах від 57% до 68% впродовж перших чотирьох років роботи і стабілізується на рівні 72% для решти операційного періоду.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Як частина загальних доходів від експлуатації готелів були враховані доходи від супутніх внутрішніх бізнес-напрямків – об’єктів громадського харчування, послуг телефонізації та інших додаткових бізнес-напрямків.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Рекомендується, щоб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конференц-приміщення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у цій перспективній забудові на ділянці в районі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Осокорки-Північні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біли розташовані і експлуатуватися у складі готелів.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Торгівельні приміщення: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Торговельні приміщення у складі офісної частини забудови ділянки будуть здаватися в оренду відповідним торговельним операторам у стані «без оздоблення».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highlight w:val="yellow"/>
          <w:lang w:val="uk-UA"/>
        </w:rPr>
        <w:t>Таблиця 9.3</w:t>
      </w:r>
      <w:r w:rsidRPr="00C8397D">
        <w:rPr>
          <w:rFonts w:ascii="Times New Roman" w:hAnsi="Times New Roman"/>
          <w:sz w:val="28"/>
          <w:szCs w:val="28"/>
          <w:lang w:val="uk-UA"/>
        </w:rPr>
        <w:t>.3 - Прогнозовані орендні ставки на торговельні приміщення на перших поверхах офісних будівель, що можуть бути досяжними на ділянці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9"/>
        <w:gridCol w:w="2460"/>
        <w:gridCol w:w="2479"/>
      </w:tblGrid>
      <w:tr w:rsidR="00DD6703" w:rsidRPr="00C8397D" w:rsidTr="00BA5963">
        <w:tc>
          <w:tcPr>
            <w:tcW w:w="2463" w:type="dxa"/>
            <w:vMerge w:val="restart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Орендна ставка ***, </w:t>
            </w:r>
            <w:r w:rsidRPr="00C8397D">
              <w:rPr>
                <w:rFonts w:ascii="Times New Roman" w:hAnsi="Times New Roman"/>
                <w:sz w:val="28"/>
                <w:szCs w:val="28"/>
                <w:lang w:val="ru-RU"/>
              </w:rPr>
              <w:t>$</w:t>
            </w: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1 </w:t>
            </w:r>
            <w:proofErr w:type="spellStart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місяць (без урахування ПДВ та експлуатаційних платежів)</w:t>
            </w:r>
          </w:p>
        </w:tc>
      </w:tr>
      <w:tr w:rsidR="00DD6703" w:rsidRPr="00C8397D" w:rsidTr="00BA5963">
        <w:tc>
          <w:tcPr>
            <w:tcW w:w="2463" w:type="dxa"/>
            <w:vMerge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Песимістичний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Оптимістичний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Середньозважений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Супутні торгівельні </w:t>
            </w: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приміщення для задоволення щоденних потреб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25,5</w:t>
            </w:r>
          </w:p>
        </w:tc>
      </w:tr>
    </w:tbl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lastRenderedPageBreak/>
        <w:t>Спортивно-оздоровчий клуб / фітнес центр: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Припущення, що спортивні заклади у складі забудови на ділянці будуть здаватися в оренду спеціалізованим операторам (фітнес центри, спортивні клуби) у стані «без оздоблення».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Таб</w:t>
      </w:r>
      <w:r w:rsidRPr="00C8397D">
        <w:rPr>
          <w:rFonts w:ascii="Times New Roman" w:hAnsi="Times New Roman"/>
          <w:sz w:val="28"/>
          <w:szCs w:val="28"/>
          <w:highlight w:val="yellow"/>
          <w:lang w:val="uk-UA"/>
        </w:rPr>
        <w:t>лиця 9.3.4</w:t>
      </w:r>
      <w:r w:rsidRPr="00C8397D">
        <w:rPr>
          <w:rFonts w:ascii="Times New Roman" w:hAnsi="Times New Roman"/>
          <w:sz w:val="28"/>
          <w:szCs w:val="28"/>
          <w:lang w:val="uk-UA"/>
        </w:rPr>
        <w:t xml:space="preserve"> - Прогнозовані орендні ставки на приміщення спортивних закладів, що можуть бути досяжними у випадку якісної офісної і житлової забудови на ділянці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9"/>
        <w:gridCol w:w="2460"/>
        <w:gridCol w:w="2479"/>
      </w:tblGrid>
      <w:tr w:rsidR="00DD6703" w:rsidRPr="00C8397D" w:rsidTr="00BA5963">
        <w:tc>
          <w:tcPr>
            <w:tcW w:w="2463" w:type="dxa"/>
            <w:vMerge w:val="restart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Орендна ставка ***, </w:t>
            </w:r>
            <w:r w:rsidRPr="00C8397D">
              <w:rPr>
                <w:rFonts w:ascii="Times New Roman" w:hAnsi="Times New Roman"/>
                <w:sz w:val="28"/>
                <w:szCs w:val="28"/>
                <w:lang w:val="ru-RU"/>
              </w:rPr>
              <w:t>$</w:t>
            </w: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1 </w:t>
            </w:r>
            <w:proofErr w:type="spellStart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місяць (без урахування ПДВ та експлуатаційних платежів)</w:t>
            </w:r>
          </w:p>
        </w:tc>
      </w:tr>
      <w:tr w:rsidR="00DD6703" w:rsidRPr="00C8397D" w:rsidTr="00BA5963">
        <w:tc>
          <w:tcPr>
            <w:tcW w:w="2463" w:type="dxa"/>
            <w:vMerge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Песимістичний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Оптимістичний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Середньозважений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Приватний спортивний заклад № 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Приватний спортивний заклад № 2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10,5</w:t>
            </w:r>
          </w:p>
        </w:tc>
      </w:tr>
    </w:tbl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 В дужках – питома вага, надана різним оцінкам орендних ставок.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**Орендні ставки за оцінками експертів, які базуються на поточних ринкових умовах, що склалися на ринку нерухомості Києва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***Значення орендних ставок в доларах США базуються на офіційному обмінному курсі станом на липень 2012 року, за умови відсутності значних коливань у офіційному курсі.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397D">
        <w:rPr>
          <w:rFonts w:ascii="Times New Roman" w:hAnsi="Times New Roman"/>
          <w:b/>
          <w:sz w:val="28"/>
          <w:szCs w:val="28"/>
          <w:lang w:val="uk-UA"/>
        </w:rPr>
        <w:t>Приватні медичні заклади: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Для цілей фінансового аналізу в рамках аналізу найкращого і найефективнішого використання зроблено припущення, що приміщення, відведені під розміщення приватних медичних закладів на території ділянки,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>будуть здаватися у стані «без оздоблення» відповідним спеціалізованим операторам медичних установ.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highlight w:val="yellow"/>
          <w:lang w:val="uk-UA"/>
        </w:rPr>
        <w:t>Таблиця 9.3.</w:t>
      </w:r>
      <w:r w:rsidRPr="00C8397D">
        <w:rPr>
          <w:rFonts w:ascii="Times New Roman" w:hAnsi="Times New Roman"/>
          <w:sz w:val="28"/>
          <w:szCs w:val="28"/>
          <w:lang w:val="uk-UA"/>
        </w:rPr>
        <w:t>5 - Прогнозовані орендні ставки, які в теперішніх ринкових умовах є досяжними для спекулятивних приватних медичних закладів, розташованих в рамках ефективної офісно-житлової забудови на ділянці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59"/>
        <w:gridCol w:w="2460"/>
        <w:gridCol w:w="2479"/>
      </w:tblGrid>
      <w:tr w:rsidR="00DD6703" w:rsidRPr="00C8397D" w:rsidTr="00BA5963">
        <w:tc>
          <w:tcPr>
            <w:tcW w:w="2463" w:type="dxa"/>
            <w:vMerge w:val="restart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Орендна ставка ***, </w:t>
            </w:r>
            <w:r w:rsidRPr="00C8397D">
              <w:rPr>
                <w:rFonts w:ascii="Times New Roman" w:hAnsi="Times New Roman"/>
                <w:sz w:val="28"/>
                <w:szCs w:val="28"/>
                <w:lang w:val="ru-RU"/>
              </w:rPr>
              <w:t>$</w:t>
            </w: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1 </w:t>
            </w:r>
            <w:proofErr w:type="spellStart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кв.м</w:t>
            </w:r>
            <w:proofErr w:type="spellEnd"/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місяць (без урахування ПДВ та експлуатаційних платежів)</w:t>
            </w:r>
          </w:p>
        </w:tc>
      </w:tr>
      <w:tr w:rsidR="00DD6703" w:rsidRPr="00C8397D" w:rsidTr="00BA5963">
        <w:tc>
          <w:tcPr>
            <w:tcW w:w="2463" w:type="dxa"/>
            <w:vMerge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Песимістичний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Оптимістичний сценарій (50%*)</w:t>
            </w:r>
          </w:p>
        </w:tc>
        <w:tc>
          <w:tcPr>
            <w:tcW w:w="2464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Середньозважений</w:t>
            </w:r>
          </w:p>
        </w:tc>
      </w:tr>
      <w:tr w:rsidR="00DD6703" w:rsidRPr="00C8397D" w:rsidTr="00BA5963">
        <w:tc>
          <w:tcPr>
            <w:tcW w:w="2463" w:type="dxa"/>
            <w:shd w:val="clear" w:color="auto" w:fill="auto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Приватна клініка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D6703" w:rsidRPr="00C8397D" w:rsidRDefault="00DD6703" w:rsidP="00BA5963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397D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</w:tr>
    </w:tbl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 В дужках – питома вага, надана різним оцінкам орендних ставок.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**Орендні ставки за оцінками експертів, які базуються на поточних ринкових умовах, що склалися на ринку нерухомості Києва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***Значення орендних ставок в доларах США базуються на офіційному обмінному курсі станом на липень 2012 року, за умови відсутності значних коливань у офіційному курсі.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Для цілей даного аналізу, припустимо, що об’єкти громадського призначення та соціальної інфраструктури в складі проекту (загальноосвітні заклади, вищі навчальні заклади, музеї тощо) не є об’єктам, що генерують орендний (чи інший) дохід забудовнику / власнику. Проте не варто виключати можливість того, що ці приміщення будуть здані в оренду приватним навчальним чи освітнім установам.</w:t>
      </w:r>
    </w:p>
    <w:p w:rsidR="00DD6703" w:rsidRPr="00C8397D" w:rsidRDefault="00DD6703" w:rsidP="00DD6703">
      <w:pPr>
        <w:tabs>
          <w:tab w:val="left" w:pos="15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i/>
          <w:sz w:val="28"/>
          <w:szCs w:val="28"/>
          <w:u w:val="single"/>
          <w:lang w:val="uk-UA"/>
        </w:rPr>
        <w:t>Конкурентними перевагами</w:t>
      </w:r>
      <w:r w:rsidRPr="00C839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девелоперського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проекту створення нового ділового району «Київ-Сіті» можуть стати (або є):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велика ступінь диференціації ринкових сегментів;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концентрація проекту на швидко зростаючих сегментах нерухомості;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унікальність проекту у своєму роді на території реалізації;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високі технологічні та інноваційні переваги проекту;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широке коло кінцевих споживачів;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підвищення продуктивності праці населення, яке буде проживати в </w:t>
      </w:r>
      <w:r w:rsidRPr="00C8397D">
        <w:rPr>
          <w:rFonts w:ascii="Times New Roman" w:hAnsi="Times New Roman"/>
          <w:sz w:val="28"/>
          <w:szCs w:val="28"/>
          <w:lang w:val="uk-UA"/>
        </w:rPr>
        <w:lastRenderedPageBreak/>
        <w:t xml:space="preserve">новому діловому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рацоні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«Київ-Сіті»;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забезпечення вищої якості життя населення  у «Київ-Сіті»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ефективне районне планування;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>надання інвестиційної площадки для потенційних інвесторів на вигідних умовах;</w:t>
      </w:r>
    </w:p>
    <w:p w:rsidR="00DD6703" w:rsidRPr="00C8397D" w:rsidRDefault="00DD6703" w:rsidP="00DD6703">
      <w:pPr>
        <w:numPr>
          <w:ilvl w:val="3"/>
          <w:numId w:val="1"/>
        </w:numPr>
        <w:tabs>
          <w:tab w:val="left" w:pos="1080"/>
          <w:tab w:val="left" w:pos="154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397D">
        <w:rPr>
          <w:rFonts w:ascii="Times New Roman" w:hAnsi="Times New Roman"/>
          <w:sz w:val="28"/>
          <w:szCs w:val="28"/>
          <w:lang w:val="uk-UA"/>
        </w:rPr>
        <w:t xml:space="preserve">гнучка структура </w:t>
      </w:r>
      <w:proofErr w:type="spellStart"/>
      <w:r w:rsidRPr="00C8397D">
        <w:rPr>
          <w:rFonts w:ascii="Times New Roman" w:hAnsi="Times New Roman"/>
          <w:sz w:val="28"/>
          <w:szCs w:val="28"/>
          <w:lang w:val="uk-UA"/>
        </w:rPr>
        <w:t>заповненя</w:t>
      </w:r>
      <w:proofErr w:type="spellEnd"/>
      <w:r w:rsidRPr="00C8397D">
        <w:rPr>
          <w:rFonts w:ascii="Times New Roman" w:hAnsi="Times New Roman"/>
          <w:sz w:val="28"/>
          <w:szCs w:val="28"/>
          <w:lang w:val="uk-UA"/>
        </w:rPr>
        <w:t xml:space="preserve"> об’єктами нерухомості нового ділового району.</w:t>
      </w:r>
    </w:p>
    <w:p w:rsidR="00791E58" w:rsidRDefault="00791E58">
      <w:bookmarkStart w:id="0" w:name="_GoBack"/>
      <w:bookmarkEnd w:id="0"/>
    </w:p>
    <w:sectPr w:rsidR="00791E58" w:rsidSect="000F47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A5E"/>
    <w:multiLevelType w:val="hybridMultilevel"/>
    <w:tmpl w:val="4A40FB2C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1BC48C60">
      <w:start w:val="5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eastAsia="SimSun" w:hAnsi="Symbol" w:cs="Times New Roman" w:hint="default"/>
      </w:rPr>
    </w:lvl>
    <w:lvl w:ilvl="3" w:tplc="5EDEBDCC">
      <w:start w:val="3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SimSu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6"/>
    <w:rsid w:val="00681766"/>
    <w:rsid w:val="00791E58"/>
    <w:rsid w:val="00D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3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03"/>
    <w:pPr>
      <w:widowControl w:val="0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2890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2013-07-18T08:31:00Z</dcterms:created>
  <dcterms:modified xsi:type="dcterms:W3CDTF">2013-07-18T08:31:00Z</dcterms:modified>
</cp:coreProperties>
</file>