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15" w:rsidRPr="009457BA" w:rsidRDefault="003F5415" w:rsidP="003F5415">
      <w:pPr>
        <w:spacing w:after="0" w:line="360" w:lineRule="auto"/>
        <w:ind w:firstLine="697"/>
        <w:jc w:val="both"/>
        <w:rPr>
          <w:rFonts w:ascii="Times New Roman" w:hAnsi="Times New Roman"/>
          <w:b/>
          <w:noProof/>
          <w:color w:val="000000"/>
          <w:position w:val="3"/>
          <w:sz w:val="28"/>
          <w:szCs w:val="28"/>
          <w:lang w:val="uk-UA"/>
        </w:rPr>
      </w:pPr>
      <w:bookmarkStart w:id="0" w:name="_GoBack"/>
      <w:r w:rsidRPr="009457BA">
        <w:rPr>
          <w:rFonts w:ascii="Times New Roman" w:hAnsi="Times New Roman"/>
          <w:b/>
          <w:noProof/>
          <w:color w:val="000000"/>
          <w:position w:val="3"/>
          <w:sz w:val="28"/>
          <w:szCs w:val="28"/>
          <w:lang w:val="uk-UA"/>
        </w:rPr>
        <w:t>3.3.1.1. Орендарі офісної нерухомості м. Київ</w:t>
      </w:r>
    </w:p>
    <w:bookmarkEnd w:id="0"/>
    <w:p w:rsidR="003F5415" w:rsidRPr="009457BA" w:rsidRDefault="003F5415" w:rsidP="003F5415">
      <w:pPr>
        <w:spacing w:after="0" w:line="360" w:lineRule="auto"/>
        <w:ind w:firstLine="697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Попит на офіси в Київі як і раніше сильно обумовлений компаніями, що працюють в області інформаційних і комунікаційних технологій, виробництва та розподілу (переважно виробництво товарів масового вжитку і фармацевтичне виробництво), в фінансовому секторі та в сільському господарстві. Сукупна частка цих компаній у загальному обсязі офісних примищень, орендованих у 2011 році, склала приблизно 51%.</w:t>
      </w:r>
    </w:p>
    <w:p w:rsidR="003F5415" w:rsidRPr="009457BA" w:rsidRDefault="003F5415" w:rsidP="003F5415">
      <w:pPr>
        <w:spacing w:after="0" w:line="360" w:lineRule="auto"/>
        <w:ind w:firstLine="697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Більшість великих корпорацій, оперуючих у сфері бізнес-консалтингу, фінансових послуг, виробництва та розповсюдження, сільського господарства та дистрибуції, а також державні організації та посольства розташовано в найпривабливіших офісних локаціях, тобто в центральному діловому районі, на Подолі і, частково, в районі Печерську.</w:t>
      </w:r>
    </w:p>
    <w:p w:rsidR="003F5415" w:rsidRPr="009457BA" w:rsidRDefault="003F5415" w:rsidP="003F5415">
      <w:pPr>
        <w:spacing w:after="0" w:line="360" w:lineRule="auto"/>
        <w:ind w:firstLine="697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Стандарт на використання офісної площі на одне робоче місто в компаніях, що працюють в професійних офісних об’єктах в Київі становить, у середньому, 12 кв.м. на одне робоче місце.</w:t>
      </w:r>
    </w:p>
    <w:p w:rsidR="003F5415" w:rsidRPr="009457BA" w:rsidRDefault="003F5415" w:rsidP="003F5415">
      <w:pPr>
        <w:spacing w:after="0" w:line="360" w:lineRule="auto"/>
        <w:ind w:firstLine="697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Нижченаведена інформація демонструє площі офісних приміщень, орендованих деякими великими регіональними/міжнародними компаніями в м. Київ.</w:t>
      </w:r>
    </w:p>
    <w:p w:rsidR="003F5415" w:rsidRPr="009457BA" w:rsidRDefault="003F5415" w:rsidP="003F5415">
      <w:pPr>
        <w:spacing w:after="0" w:line="360" w:lineRule="auto"/>
        <w:ind w:firstLine="697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Таблиця 3.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 xml:space="preserve"> – Офісні площі регіональних/міжнародних компанії в м. Київ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8"/>
        <w:gridCol w:w="1905"/>
        <w:gridCol w:w="1473"/>
        <w:gridCol w:w="1617"/>
        <w:gridCol w:w="1905"/>
        <w:gridCol w:w="1473"/>
      </w:tblGrid>
      <w:tr w:rsidR="003F5415" w:rsidRPr="009457BA" w:rsidTr="00583207">
        <w:tc>
          <w:tcPr>
            <w:tcW w:w="141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Орендар</w:t>
            </w:r>
          </w:p>
        </w:tc>
        <w:tc>
          <w:tcPr>
            <w:tcW w:w="185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Сфера діяльності</w:t>
            </w:r>
          </w:p>
        </w:tc>
        <w:tc>
          <w:tcPr>
            <w:tcW w:w="143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Площа офісних приміщень</w:t>
            </w:r>
          </w:p>
        </w:tc>
        <w:tc>
          <w:tcPr>
            <w:tcW w:w="157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Орендар</w:t>
            </w:r>
          </w:p>
        </w:tc>
        <w:tc>
          <w:tcPr>
            <w:tcW w:w="185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Сфера діяльності</w:t>
            </w:r>
          </w:p>
        </w:tc>
        <w:tc>
          <w:tcPr>
            <w:tcW w:w="143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Площа офісних приміщень</w:t>
            </w:r>
          </w:p>
        </w:tc>
      </w:tr>
      <w:tr w:rsidR="003F5415" w:rsidRPr="009457BA" w:rsidTr="00583207">
        <w:tc>
          <w:tcPr>
            <w:tcW w:w="141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Procter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&amp;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Gamble</w:t>
            </w:r>
          </w:p>
        </w:tc>
        <w:tc>
          <w:tcPr>
            <w:tcW w:w="185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Товари повсякденного попиту</w:t>
            </w:r>
          </w:p>
        </w:tc>
        <w:tc>
          <w:tcPr>
            <w:tcW w:w="143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3,843</w:t>
            </w:r>
          </w:p>
        </w:tc>
        <w:tc>
          <w:tcPr>
            <w:tcW w:w="157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Philip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Morris</w:t>
            </w:r>
          </w:p>
        </w:tc>
        <w:tc>
          <w:tcPr>
            <w:tcW w:w="185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Товари повсякденного попиту</w:t>
            </w:r>
          </w:p>
        </w:tc>
        <w:tc>
          <w:tcPr>
            <w:tcW w:w="143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3,010</w:t>
            </w:r>
          </w:p>
        </w:tc>
      </w:tr>
      <w:tr w:rsidR="003F5415" w:rsidRPr="009457BA" w:rsidTr="00583207">
        <w:tc>
          <w:tcPr>
            <w:tcW w:w="141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Unilever</w:t>
            </w:r>
          </w:p>
        </w:tc>
        <w:tc>
          <w:tcPr>
            <w:tcW w:w="185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Товари повсякденного попиту</w:t>
            </w:r>
          </w:p>
        </w:tc>
        <w:tc>
          <w:tcPr>
            <w:tcW w:w="143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57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MasterFoods</w:t>
            </w:r>
          </w:p>
        </w:tc>
        <w:tc>
          <w:tcPr>
            <w:tcW w:w="185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Товари повсякденного попиту</w:t>
            </w:r>
          </w:p>
        </w:tc>
        <w:tc>
          <w:tcPr>
            <w:tcW w:w="143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599</w:t>
            </w:r>
          </w:p>
        </w:tc>
      </w:tr>
      <w:tr w:rsidR="003F5415" w:rsidRPr="009457BA" w:rsidTr="00583207">
        <w:tc>
          <w:tcPr>
            <w:tcW w:w="141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BAT</w:t>
            </w:r>
          </w:p>
        </w:tc>
        <w:tc>
          <w:tcPr>
            <w:tcW w:w="185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Товари повсякденного попиту</w:t>
            </w:r>
          </w:p>
        </w:tc>
        <w:tc>
          <w:tcPr>
            <w:tcW w:w="143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2,017</w:t>
            </w:r>
          </w:p>
        </w:tc>
        <w:tc>
          <w:tcPr>
            <w:tcW w:w="157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Colgate-Palmolive</w:t>
            </w:r>
          </w:p>
        </w:tc>
        <w:tc>
          <w:tcPr>
            <w:tcW w:w="185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Товари повсякденного попиту</w:t>
            </w:r>
          </w:p>
        </w:tc>
        <w:tc>
          <w:tcPr>
            <w:tcW w:w="143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300</w:t>
            </w:r>
          </w:p>
        </w:tc>
      </w:tr>
      <w:tr w:rsidR="003F5415" w:rsidRPr="009457BA" w:rsidTr="00583207">
        <w:tc>
          <w:tcPr>
            <w:tcW w:w="141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Kraft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Foods</w:t>
            </w:r>
          </w:p>
        </w:tc>
        <w:tc>
          <w:tcPr>
            <w:tcW w:w="185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Товари повсякденного попиту</w:t>
            </w:r>
          </w:p>
        </w:tc>
        <w:tc>
          <w:tcPr>
            <w:tcW w:w="143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1,802</w:t>
            </w:r>
          </w:p>
        </w:tc>
        <w:tc>
          <w:tcPr>
            <w:tcW w:w="157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PepsiCo</w:t>
            </w:r>
          </w:p>
        </w:tc>
        <w:tc>
          <w:tcPr>
            <w:tcW w:w="1854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Товари повсякденного попиту</w:t>
            </w:r>
          </w:p>
        </w:tc>
        <w:tc>
          <w:tcPr>
            <w:tcW w:w="143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122</w:t>
            </w:r>
          </w:p>
        </w:tc>
      </w:tr>
    </w:tbl>
    <w:p w:rsidR="003F5415" w:rsidRPr="009457BA" w:rsidRDefault="003F5415" w:rsidP="003F5415">
      <w:pPr>
        <w:spacing w:after="0" w:line="360" w:lineRule="auto"/>
        <w:ind w:left="511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F5415" w:rsidRPr="009457BA" w:rsidRDefault="003F5415" w:rsidP="003F5415">
      <w:pPr>
        <w:spacing w:after="0" w:line="360" w:lineRule="auto"/>
        <w:ind w:left="511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3F5415" w:rsidRPr="009457BA" w:rsidRDefault="003F5415" w:rsidP="003F5415">
      <w:pPr>
        <w:spacing w:after="0" w:line="360" w:lineRule="auto"/>
        <w:ind w:firstLine="697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Продовження табл. 3.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highlight w:val="yellow"/>
          <w:lang w:val="uk-UA"/>
        </w:rPr>
        <w:t>??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9"/>
        <w:gridCol w:w="1899"/>
        <w:gridCol w:w="1468"/>
        <w:gridCol w:w="1508"/>
        <w:gridCol w:w="1899"/>
        <w:gridCol w:w="1468"/>
      </w:tblGrid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Орендар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Сфера діяльності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Площа офісних приміщень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Орендар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Сфера діяльності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Площа офісних приміщень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Danone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Товари повсякденного попиту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250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Nestle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Товари повсякденного попиту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3,171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IVAX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Фармація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284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GlaxoSmith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Kline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Фармація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1,300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Aventis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Pharma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Int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Фармація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432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Siemens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2,100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IBM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325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Ericsson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1,427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Sony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796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Samsung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2,912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Exxon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Mobil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200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Panasonic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515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3M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Виробництво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1,100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Osram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Виробництво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749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Nissan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Motors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Автомобільна продукція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521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Motorola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727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DuPont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Виробництво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644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Whirlpool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150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Kodak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500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BASF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533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Shell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1,455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Microsoft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3,500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Hewlett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Packard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Електроніка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600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ORACLE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Інформаційно-комунікаційні технології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350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Cisco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Systems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Інформаційно-комунікаційні технології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1,000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Deloitte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Бізнес-послуги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6,650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KPMG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Бізнес-послуги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1,779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Ernst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&amp;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Young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Бізнес-послуги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1,501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ING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Bank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Фінанси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2,595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Sociйtй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Generale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Фінанси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100</w:t>
            </w:r>
          </w:p>
        </w:tc>
      </w:tr>
      <w:tr w:rsidR="003F5415" w:rsidRPr="009457BA" w:rsidTr="00583207">
        <w:tc>
          <w:tcPr>
            <w:tcW w:w="1416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Baker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&amp;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McKenzie</w:t>
            </w: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Бізнес-послуги</w:t>
            </w: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  <w:t>1,480</w:t>
            </w:r>
          </w:p>
        </w:tc>
        <w:tc>
          <w:tcPr>
            <w:tcW w:w="1462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</w:p>
        </w:tc>
        <w:tc>
          <w:tcPr>
            <w:tcW w:w="149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  <w:lang w:val="uk-UA"/>
              </w:rPr>
            </w:pPr>
          </w:p>
        </w:tc>
      </w:tr>
    </w:tbl>
    <w:p w:rsidR="003F5415" w:rsidRPr="009457BA" w:rsidRDefault="003F5415" w:rsidP="003F5415">
      <w:pPr>
        <w:spacing w:after="0" w:line="360" w:lineRule="auto"/>
        <w:ind w:firstLine="709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sz w:val="28"/>
          <w:szCs w:val="28"/>
        </w:rPr>
        <w:t>Джерело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</w:rPr>
        <w:t>: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</w:rPr>
        <w:t>DTZ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</w:rPr>
        <w:t>Research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 xml:space="preserve">Необхідно зауважити, що запити цих орендарів на офісні приміщення в Київі складають лише 20 – 50% від площі, яку займають ті ж самі компанії в інших столицях Центральної та Восточної Європи. Це дослідження було проведено в червні 2005 року, тому важливо відзначити, що з того часу ряд компаній, наведених у таблиці, збільшили орендовану в Київі офісну площу. Серед цих компаній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Baker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&amp;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McKenzie,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Reiffeisen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Bank,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Cisco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Systems,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GlaxoSmithKline,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Motorola,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Procter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&amp;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Gamble,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Unilever,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sz w:val="28"/>
          <w:szCs w:val="28"/>
        </w:rPr>
        <w:t>Kraft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</w:rPr>
        <w:t xml:space="preserve"> Foods,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</w:rPr>
        <w:t>Osram,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</w:rPr>
        <w:t>Ernst&amp;Young,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</w:rPr>
        <w:t>Deloitte,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</w:rPr>
        <w:t>3M,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</w:rPr>
        <w:t>Microsoft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 xml:space="preserve"> та інші.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 xml:space="preserve">Починаючи з 2007 року багато корпоративних офісних орендарів почали свою експансію. Через дефіціт якісних офісних приміщень, що історично переважав у Київі, а також низький рівень пропозиції нових офісних приміщень, багато компаній значно розширили орендовану площу 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lastRenderedPageBreak/>
        <w:t>офісів, зважаючи не тільки на нагальні потреби в офісних приміщеннях, але й на перспективи подальшого росту компаній та додаткових співробітників. Багато корпоративних орендарів вже скористалися можливостями знижених ставок оренди на офіси в Київі, переїхавши до більш привабливих для локації місць міста або розширивши орендну площу офісів.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>Незважаючи на те, що у 2011 році попит на офісні приміщення формувався орендарями різних галузей, на відміну від 2010 року вагома доля попиту приходилася на компанії сектору інформаційних технологій та комунікацій (38% від загального обсягу приміщень, зданих в оренду в цей період), виробництва (26%, головним чином компаніями сектору продуктів повсякденного вжитку та формації, дорівнюючи відповідно 4% та 6,8%), фінансів (10%) та сільського господарства (5%) (рис. 3.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>).</w:t>
      </w:r>
    </w:p>
    <w:p w:rsidR="003F5415" w:rsidRPr="009457BA" w:rsidRDefault="003F5415" w:rsidP="003F5415">
      <w:pPr>
        <w:spacing w:after="0" w:line="360" w:lineRule="auto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position w:val="2"/>
          <w:sz w:val="28"/>
          <w:szCs w:val="28"/>
          <w:lang w:val="ru-RU" w:eastAsia="ru-RU"/>
        </w:rPr>
        <w:drawing>
          <wp:inline distT="0" distB="0" distL="0" distR="0" wp14:anchorId="1FF39FC0" wp14:editId="60444105">
            <wp:extent cx="5934075" cy="3229610"/>
            <wp:effectExtent l="0" t="0" r="952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15" w:rsidRPr="009457BA" w:rsidRDefault="003F5415" w:rsidP="003F5415">
      <w:pPr>
        <w:spacing w:after="0" w:line="360" w:lineRule="auto"/>
        <w:jc w:val="center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>Рисунок 3.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 xml:space="preserve"> – Оренда офісних приміщень у Київі за типами орендарів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 xml:space="preserve">У 2011 році переважаючими стали угоди на оренду офісних приміщень площею понад </w:t>
      </w:r>
      <w:smartTag w:uri="urn:schemas-microsoft-com:office:smarttags" w:element="metricconverter">
        <w:smartTagPr>
          <w:attr w:name="ProductID" w:val="1000 кв. м"/>
        </w:smartTagPr>
        <w:r w:rsidRPr="009457BA">
          <w:rPr>
            <w:rFonts w:ascii="Times New Roman" w:hAnsi="Times New Roman"/>
            <w:noProof/>
            <w:color w:val="000000"/>
            <w:position w:val="2"/>
            <w:sz w:val="28"/>
            <w:szCs w:val="28"/>
            <w:lang w:val="uk-UA"/>
          </w:rPr>
          <w:t>1000 кв. м</w:t>
        </w:r>
      </w:smartTag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 xml:space="preserve">., на частку яких припадає 42% загальної кількості укладених угод оренди на ринку. У першому кварталі 2012 року у Київі було здано близько 10500 кв.м. офісних приміщень, що на 31% нижче в порівнянні з показником, зареєстрованим у першому кварталі 2004 року, перед початком динамічного економічного зростання в Україні. Крім того, об’єм поглинутих 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lastRenderedPageBreak/>
        <w:t>офісних приміщень у першому кварталі 2012 року був на 58% менше в порівнянні з показником, зареєстрованим у першому кварталі 2009 року, у час розпалу економічної кризи.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>У зв’язку з поступовим поліпшенням економічної ситуації у країні умови на ринку офісної нерухомості у Київі стають сприятливішими, в 2011 році та у першому кварталі 2012 року багато компаній переїхали в офісні приміщення з кращими характеристиками з точки зору розташування та/або якості. Інші компанії розширили займані площі або провели переговори з власниками приміщень з метою зафіксувати поточні умови оренди на більш тривалий термін напередодні очікуваного відновлення позитивної динаміки ринку.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>Таблиця 3.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 xml:space="preserve"> – Найбільші угоди з оренди офісних приміщень у Київі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1"/>
        <w:gridCol w:w="1954"/>
        <w:gridCol w:w="2273"/>
        <w:gridCol w:w="2323"/>
      </w:tblGrid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Орендар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Площа (кв.м)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Профіль орендаря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Розташування*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pacing w:val="-1"/>
                <w:sz w:val="28"/>
                <w:szCs w:val="28"/>
              </w:rPr>
              <w:t>TNK-BP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5 923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ІСТ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НЦ - ЗБ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pacing w:val="-1"/>
                <w:position w:val="3"/>
                <w:sz w:val="28"/>
                <w:szCs w:val="28"/>
              </w:rPr>
              <w:t>EPAM</w:t>
            </w:r>
            <w:r w:rsidRPr="009457BA">
              <w:rPr>
                <w:rFonts w:ascii="Times New Roman" w:hAnsi="Times New Roman"/>
                <w:noProof/>
                <w:color w:val="000000"/>
                <w:spacing w:val="10"/>
                <w:sz w:val="28"/>
                <w:szCs w:val="28"/>
              </w:rPr>
              <w:t> </w:t>
            </w:r>
            <w:r w:rsidRPr="009457BA">
              <w:rPr>
                <w:rFonts w:ascii="Times New Roman" w:hAnsi="Times New Roman"/>
                <w:noProof/>
                <w:color w:val="000000"/>
                <w:spacing w:val="-1"/>
                <w:position w:val="3"/>
                <w:sz w:val="28"/>
                <w:szCs w:val="28"/>
              </w:rPr>
              <w:t>Systems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5 300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Виробництво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НЦ - ЗБ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pacing w:val="-1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pacing w:val="-1"/>
                <w:position w:val="3"/>
                <w:sz w:val="28"/>
                <w:szCs w:val="28"/>
                <w:lang w:val="uk-UA"/>
              </w:rPr>
              <w:t>«Воля»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3 460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ІСТ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НЦ - СБ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pacing w:val="-1"/>
                <w:position w:val="3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pacing w:val="-1"/>
                <w:position w:val="3"/>
                <w:sz w:val="28"/>
                <w:szCs w:val="28"/>
              </w:rPr>
              <w:t>PwC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3 292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Бізнес-сервіс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ЦДР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pacing w:val="-1"/>
                <w:position w:val="3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pacing w:val="-1"/>
                <w:sz w:val="28"/>
                <w:szCs w:val="28"/>
              </w:rPr>
              <w:t>Microsoft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2 908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Виробництво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ЦДР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pacing w:val="-1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pacing w:val="-1"/>
                <w:sz w:val="28"/>
                <w:szCs w:val="28"/>
                <w:lang w:val="uk-UA"/>
              </w:rPr>
              <w:t>Посольство Канади в Україні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2 264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Посольство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Ц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pacing w:val="-1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pacing w:val="-1"/>
                <w:sz w:val="28"/>
                <w:szCs w:val="28"/>
              </w:rPr>
              <w:t>SEB</w:t>
            </w:r>
            <w:r w:rsidRPr="009457BA">
              <w:rPr>
                <w:rFonts w:ascii="Times New Roman" w:hAnsi="Times New Roman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9457B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Bank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 xml:space="preserve">1 991 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Фінанси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ЦДР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pacing w:val="-1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10"/>
                <w:sz w:val="28"/>
                <w:szCs w:val="28"/>
              </w:rPr>
              <w:t>Software</w:t>
            </w:r>
            <w:r w:rsidRPr="009457BA">
              <w:rPr>
                <w:rFonts w:ascii="Times New Roman" w:hAnsi="Times New Roman"/>
                <w:noProof/>
                <w:color w:val="000000"/>
                <w:position w:val="1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pacing w:val="-1"/>
                <w:position w:val="10"/>
                <w:sz w:val="28"/>
                <w:szCs w:val="28"/>
              </w:rPr>
              <w:t>Outsourcing</w:t>
            </w:r>
            <w:r w:rsidRPr="009457BA">
              <w:rPr>
                <w:rFonts w:ascii="Times New Roman" w:hAnsi="Times New Roman"/>
                <w:noProof/>
                <w:color w:val="000000"/>
                <w:spacing w:val="-1"/>
                <w:position w:val="10"/>
                <w:sz w:val="28"/>
                <w:szCs w:val="28"/>
                <w:lang w:val="uk-UA"/>
              </w:rPr>
              <w:t xml:space="preserve"> </w:t>
            </w:r>
            <w:r w:rsidRPr="009457BA">
              <w:rPr>
                <w:rFonts w:ascii="Times New Roman" w:hAnsi="Times New Roman"/>
                <w:noProof/>
                <w:color w:val="000000"/>
                <w:spacing w:val="-1"/>
                <w:position w:val="10"/>
                <w:sz w:val="28"/>
                <w:szCs w:val="28"/>
              </w:rPr>
              <w:t>Team</w:t>
            </w:r>
            <w:r w:rsidRPr="009457BA">
              <w:rPr>
                <w:rFonts w:ascii="Times New Roman" w:hAnsi="Times New Roman"/>
                <w:noProof/>
                <w:color w:val="000000"/>
                <w:spacing w:val="-1"/>
                <w:position w:val="1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1 140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ІСТ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Ц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10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</w:rPr>
              <w:t>EniS.p.A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793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Енергетика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Поділ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3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pacing w:val="-1"/>
                <w:sz w:val="28"/>
                <w:szCs w:val="28"/>
              </w:rPr>
              <w:t>Porsche</w:t>
            </w:r>
            <w:r w:rsidRPr="009457BA">
              <w:rPr>
                <w:rFonts w:ascii="Times New Roman" w:hAnsi="Times New Roman"/>
                <w:noProof/>
                <w:color w:val="000000"/>
                <w:spacing w:val="9"/>
                <w:sz w:val="28"/>
                <w:szCs w:val="28"/>
              </w:rPr>
              <w:t> </w:t>
            </w:r>
            <w:r w:rsidRPr="009457BA">
              <w:rPr>
                <w:rFonts w:ascii="Times New Roman" w:hAnsi="Times New Roman"/>
                <w:noProof/>
                <w:color w:val="000000"/>
                <w:spacing w:val="-2"/>
                <w:sz w:val="28"/>
                <w:szCs w:val="28"/>
              </w:rPr>
              <w:t>Leasing</w:t>
            </w:r>
            <w:r w:rsidRPr="009457BA">
              <w:rPr>
                <w:rFonts w:ascii="Times New Roman" w:hAnsi="Times New Roman"/>
                <w:noProof/>
                <w:color w:val="000000"/>
                <w:spacing w:val="9"/>
                <w:sz w:val="28"/>
                <w:szCs w:val="28"/>
              </w:rPr>
              <w:t> </w:t>
            </w:r>
            <w:r w:rsidRPr="009457BA">
              <w:rPr>
                <w:rFonts w:ascii="Times New Roman" w:hAnsi="Times New Roman"/>
                <w:noProof/>
                <w:color w:val="000000"/>
                <w:spacing w:val="-1"/>
                <w:sz w:val="28"/>
                <w:szCs w:val="28"/>
              </w:rPr>
              <w:t>Ukraine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662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Фінанси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НЦ - ЗБ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pacing w:val="-1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pacing w:val="-1"/>
                <w:position w:val="3"/>
                <w:sz w:val="28"/>
                <w:szCs w:val="28"/>
              </w:rPr>
              <w:t>KPMG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515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Бізнес-сервіс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ЦДР</w:t>
            </w:r>
          </w:p>
        </w:tc>
      </w:tr>
      <w:tr w:rsidR="003F5415" w:rsidRPr="009457BA" w:rsidTr="00583207">
        <w:tc>
          <w:tcPr>
            <w:tcW w:w="2820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pacing w:val="-1"/>
                <w:position w:val="3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spacing w:val="-1"/>
                <w:position w:val="3"/>
                <w:sz w:val="28"/>
                <w:szCs w:val="28"/>
              </w:rPr>
              <w:t>Group SEB</w:t>
            </w:r>
          </w:p>
        </w:tc>
        <w:tc>
          <w:tcPr>
            <w:tcW w:w="2065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</w:rPr>
              <w:t>400</w:t>
            </w:r>
          </w:p>
        </w:tc>
        <w:tc>
          <w:tcPr>
            <w:tcW w:w="2328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Виробництво</w:t>
            </w:r>
          </w:p>
        </w:tc>
        <w:tc>
          <w:tcPr>
            <w:tcW w:w="2357" w:type="dxa"/>
          </w:tcPr>
          <w:p w:rsidR="003F5415" w:rsidRPr="009457BA" w:rsidRDefault="003F5415" w:rsidP="00583207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</w:pPr>
            <w:r w:rsidRPr="009457BA">
              <w:rPr>
                <w:rFonts w:ascii="Times New Roman" w:hAnsi="Times New Roman"/>
                <w:noProof/>
                <w:color w:val="000000"/>
                <w:position w:val="2"/>
                <w:sz w:val="28"/>
                <w:szCs w:val="28"/>
                <w:lang w:val="uk-UA"/>
              </w:rPr>
              <w:t>НЦ - СБ</w:t>
            </w:r>
          </w:p>
        </w:tc>
      </w:tr>
    </w:tbl>
    <w:p w:rsidR="003F5415" w:rsidRPr="009457BA" w:rsidRDefault="003F5415" w:rsidP="003F5415">
      <w:pPr>
        <w:spacing w:after="0" w:line="360" w:lineRule="auto"/>
        <w:ind w:firstLine="709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sz w:val="28"/>
          <w:szCs w:val="28"/>
        </w:rPr>
        <w:t>Джерело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</w:rPr>
        <w:t>: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</w:rPr>
        <w:t>DTZ</w:t>
      </w:r>
      <w:r w:rsidRPr="009457BA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</w:rPr>
        <w:t>Research</w:t>
      </w:r>
    </w:p>
    <w:p w:rsidR="003F5415" w:rsidRPr="009457BA" w:rsidRDefault="003F5415" w:rsidP="003F5415">
      <w:pPr>
        <w:spacing w:after="0" w:line="360" w:lineRule="auto"/>
        <w:jc w:val="both"/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lastRenderedPageBreak/>
        <w:t>* ЦДР – Центральний діловий район, НЦ – ЗБ – нецентральний діловий район на західному березі ріки Дніпро, НЦ – СБ – нецентральний район на східному березі ріки Дніпро.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2"/>
          <w:sz w:val="28"/>
          <w:szCs w:val="28"/>
          <w:lang w:val="uk-UA"/>
        </w:rPr>
        <w:t xml:space="preserve">Проте значна 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частина орендарів, зокрема, малих і середніх підприємств, до сих пір працює в переформатованих житлових приміщеннях та колишніх промислових будівлях, що пов’язано як із наслідками економічної кризи, так й з відсутністю довіри в цілому до об’єктів, що будуються. Отже, орендарями офісної частини «Київ-Сіті» переважно будуть компанії, які зацікавлені в розширенні своїх офісних приміщень у Києві, бажають переїхати в інші офісні приміщення або консолідувати свої теперішні локації по місту в єдиний будинок.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Згідно з результатами проведеного опитування великих корпоративних орендарів у Києві, представники практично всіх секторів економіки підтвердили наміри розширити штат та/або площу своїх офісних приміщень (рис. 3.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).</w:t>
      </w:r>
    </w:p>
    <w:p w:rsidR="003F5415" w:rsidRPr="009457BA" w:rsidRDefault="003F5415" w:rsidP="003F5415">
      <w:pPr>
        <w:spacing w:after="0" w:line="360" w:lineRule="auto"/>
        <w:jc w:val="center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position w:val="3"/>
          <w:sz w:val="28"/>
          <w:szCs w:val="28"/>
          <w:lang w:val="ru-RU" w:eastAsia="ru-RU"/>
        </w:rPr>
        <w:drawing>
          <wp:inline distT="0" distB="0" distL="0" distR="0" wp14:anchorId="2F6D6205" wp14:editId="12561803">
            <wp:extent cx="4279900" cy="30543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15" w:rsidRPr="009457BA" w:rsidRDefault="003F5415" w:rsidP="003F5415">
      <w:pPr>
        <w:spacing w:after="0" w:line="360" w:lineRule="auto"/>
        <w:jc w:val="center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Рис. 3.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 xml:space="preserve"> – Структура компаній за наміром розширення штату та/або площу офісних приміщень у Києві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 xml:space="preserve">Винятком є комерційні банки (14% респондентів у секторі надали позитивну відповідь) та юридичні компанії (33% позитивних відповідей). Найпозитивніші тенденції щодо перспективного зростання у найближчі 5 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lastRenderedPageBreak/>
        <w:t>років було зафіксовано у сільському господарстві, логістиці, ІТ секторі, виробництві і дистрибуції товарів, рекламі і медіа, а також фінансовому секторі за винятком банків.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Згідно з результатами проведеного опитування великих корпоративних орендарів офісної нерухомості у Києві, ділянки уздовж ріки Дніпро (в тому числі і на лівому березі) є потенційно привабливими для компаній усіх секторів, особливо для комерційних банків та інших компаній у фінансовому секторі, у секторі інформаційних технологій, торгівлі, секторі реклами та медіа, сільському господарстві, а також для виробничих і дистрибуційних компаній (рис. 3.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).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57BA">
        <w:rPr>
          <w:rFonts w:ascii="Times New Roman" w:hAnsi="Times New Roman"/>
          <w:sz w:val="28"/>
          <w:szCs w:val="28"/>
          <w:lang w:val="uk-UA"/>
        </w:rPr>
        <w:t>В той же час практично половина опитаних юридичних компаній (50%), посольств, урядових і неурядових організацій (50%), а також компаній у торгівельному (75%) ат логістичному секторі не готові сьогодні розглядати такий варіант.</w:t>
      </w:r>
    </w:p>
    <w:p w:rsidR="003F5415" w:rsidRPr="009457BA" w:rsidRDefault="003F5415" w:rsidP="003F541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BE3D56E" wp14:editId="3E7F8220">
            <wp:extent cx="4144010" cy="3560445"/>
            <wp:effectExtent l="0" t="0" r="889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15" w:rsidRPr="009457BA" w:rsidRDefault="003F5415" w:rsidP="003F541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457BA">
        <w:rPr>
          <w:rFonts w:ascii="Times New Roman" w:hAnsi="Times New Roman"/>
          <w:sz w:val="28"/>
          <w:szCs w:val="28"/>
          <w:lang w:val="uk-UA"/>
        </w:rPr>
        <w:t>Рис. 3.</w:t>
      </w:r>
      <w:r w:rsidRPr="009457BA">
        <w:rPr>
          <w:rFonts w:ascii="Times New Roman" w:hAnsi="Times New Roman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sz w:val="28"/>
          <w:szCs w:val="28"/>
          <w:lang w:val="uk-UA"/>
        </w:rPr>
        <w:t xml:space="preserve"> – Оцінка потенційної привабливості ділянок уздовж р. Дніпро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57BA">
        <w:rPr>
          <w:rFonts w:ascii="Times New Roman" w:hAnsi="Times New Roman"/>
          <w:sz w:val="28"/>
          <w:szCs w:val="28"/>
          <w:lang w:val="uk-UA"/>
        </w:rPr>
        <w:t xml:space="preserve">Ділянка, розташована в районі Одеської площі у Києві, є найбільш привабливою для розташування офісних приміщень опитаних компаній у секторах логістики, сільському господарстві, юридичних компаній та інших </w:t>
      </w:r>
      <w:r w:rsidRPr="009457BA">
        <w:rPr>
          <w:rFonts w:ascii="Times New Roman" w:hAnsi="Times New Roman"/>
          <w:sz w:val="28"/>
          <w:szCs w:val="28"/>
          <w:lang w:val="uk-UA"/>
        </w:rPr>
        <w:lastRenderedPageBreak/>
        <w:t>бізнес-консультантів, комерційних банків та ІТ компаній (рис. 3.</w:t>
      </w:r>
      <w:r w:rsidRPr="009457BA">
        <w:rPr>
          <w:rFonts w:ascii="Times New Roman" w:hAnsi="Times New Roman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sz w:val="28"/>
          <w:szCs w:val="28"/>
          <w:lang w:val="uk-UA"/>
        </w:rPr>
        <w:t>).</w:t>
      </w:r>
    </w:p>
    <w:p w:rsidR="003F5415" w:rsidRPr="009457BA" w:rsidRDefault="003F5415" w:rsidP="003F541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CAFE310" wp14:editId="42A6A3B2">
            <wp:extent cx="4250690" cy="32683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15" w:rsidRPr="009457BA" w:rsidRDefault="003F5415" w:rsidP="003F541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457BA">
        <w:rPr>
          <w:rFonts w:ascii="Times New Roman" w:hAnsi="Times New Roman"/>
          <w:sz w:val="28"/>
          <w:szCs w:val="28"/>
          <w:lang w:val="uk-UA"/>
        </w:rPr>
        <w:t>Рис. 3.</w:t>
      </w:r>
      <w:r w:rsidRPr="009457BA">
        <w:rPr>
          <w:rFonts w:ascii="Times New Roman" w:hAnsi="Times New Roman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sz w:val="28"/>
          <w:szCs w:val="28"/>
          <w:lang w:val="uk-UA"/>
        </w:rPr>
        <w:t xml:space="preserve"> – Оцінка потенційної привабливості ділянки біля Одеської площі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57BA">
        <w:rPr>
          <w:rFonts w:ascii="Times New Roman" w:hAnsi="Times New Roman"/>
          <w:sz w:val="28"/>
          <w:szCs w:val="28"/>
          <w:lang w:val="uk-UA"/>
        </w:rPr>
        <w:t xml:space="preserve">Ділянка, розташована на лівому березі Дніпра уздовж траси до міжнародного аеропорту Бориспіль, є потенційно привабливою для транспортних компаній та компаній, що надають бізнес послуги, а також ІТ та </w:t>
      </w:r>
      <w:proofErr w:type="spellStart"/>
      <w:r w:rsidRPr="009457BA">
        <w:rPr>
          <w:rFonts w:ascii="Times New Roman" w:hAnsi="Times New Roman"/>
          <w:sz w:val="28"/>
          <w:szCs w:val="28"/>
          <w:lang w:val="uk-UA"/>
        </w:rPr>
        <w:t>виробничо-дистрибуційних</w:t>
      </w:r>
      <w:proofErr w:type="spellEnd"/>
      <w:r w:rsidRPr="009457BA">
        <w:rPr>
          <w:rFonts w:ascii="Times New Roman" w:hAnsi="Times New Roman"/>
          <w:sz w:val="28"/>
          <w:szCs w:val="28"/>
          <w:lang w:val="uk-UA"/>
        </w:rPr>
        <w:t xml:space="preserve"> компаній (рис. 3.</w:t>
      </w:r>
      <w:r w:rsidRPr="009457BA">
        <w:rPr>
          <w:rFonts w:ascii="Times New Roman" w:hAnsi="Times New Roman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sz w:val="28"/>
          <w:szCs w:val="28"/>
          <w:lang w:val="uk-UA"/>
        </w:rPr>
        <w:t>).</w:t>
      </w:r>
    </w:p>
    <w:p w:rsidR="003F5415" w:rsidRPr="009457BA" w:rsidRDefault="003F5415" w:rsidP="003F541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DE2B710" wp14:editId="4D959AA8">
            <wp:extent cx="4211955" cy="305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415" w:rsidRPr="009457BA" w:rsidRDefault="003F5415" w:rsidP="003F541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457BA">
        <w:rPr>
          <w:rFonts w:ascii="Times New Roman" w:hAnsi="Times New Roman"/>
          <w:sz w:val="28"/>
          <w:szCs w:val="28"/>
          <w:lang w:val="uk-UA"/>
        </w:rPr>
        <w:t>Рис. 3.</w:t>
      </w:r>
      <w:r w:rsidRPr="009457BA">
        <w:rPr>
          <w:rFonts w:ascii="Times New Roman" w:hAnsi="Times New Roman"/>
          <w:sz w:val="28"/>
          <w:szCs w:val="28"/>
          <w:highlight w:val="yellow"/>
          <w:lang w:val="uk-UA"/>
        </w:rPr>
        <w:t>??</w:t>
      </w:r>
      <w:r w:rsidRPr="009457BA">
        <w:rPr>
          <w:rFonts w:ascii="Times New Roman" w:hAnsi="Times New Roman"/>
          <w:sz w:val="28"/>
          <w:szCs w:val="28"/>
          <w:lang w:val="uk-UA"/>
        </w:rPr>
        <w:t xml:space="preserve"> – Оцінка потенційної привабливості ділянки уздовж траси до міжнародного аеропорту Бориспіль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57BA">
        <w:rPr>
          <w:rFonts w:ascii="Times New Roman" w:hAnsi="Times New Roman"/>
          <w:sz w:val="28"/>
          <w:szCs w:val="28"/>
          <w:lang w:val="uk-UA"/>
        </w:rPr>
        <w:t xml:space="preserve">Аналіз тенденцій попиту в аналогічних нових ділових районах в Європі </w:t>
      </w:r>
      <w:r w:rsidRPr="009457BA">
        <w:rPr>
          <w:rFonts w:ascii="Times New Roman" w:hAnsi="Times New Roman"/>
          <w:sz w:val="28"/>
          <w:szCs w:val="28"/>
          <w:lang w:val="uk-UA"/>
        </w:rPr>
        <w:lastRenderedPageBreak/>
        <w:t>та у Москві показує, що орендарями, які у першу чергу переїздять в нові ділові райони, є ті компанії, що займають і потребують найбільшу площу офісних приміщень. Це особливо стосується перших корпоративних орендарів, яких залучають у такі масштабні містобудівні проекти. Компанії з великим штатом працівників не лише потребують більшої площі, але й переважно зацікавлені в оренді офісних будівель з великою площею поверху і ефективним плануванням відкритого типу.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57BA">
        <w:rPr>
          <w:rFonts w:ascii="Times New Roman" w:hAnsi="Times New Roman"/>
          <w:sz w:val="28"/>
          <w:szCs w:val="28"/>
          <w:lang w:val="uk-UA"/>
        </w:rPr>
        <w:t>Виходячи із проаналізованих тенденцій і міркувань можна визначити, що цільовими орендарями у проекті «Київ-Сіті» будуть компанії, що працюють у фінансовому секторі, промисловому і виробничому секторах, у секторі реклами та медіа, в інформаційно-комунікаційному секторі, сфері торгівлі, готельному бізнесі, приватній медицині.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i/>
          <w:noProof/>
          <w:color w:val="000000"/>
          <w:position w:val="3"/>
          <w:sz w:val="28"/>
          <w:szCs w:val="28"/>
          <w:lang w:val="uk-UA"/>
        </w:rPr>
        <w:t>Фінансовий сектор.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 xml:space="preserve"> У короткостроковому періоді (наступні 5 років) цей сектор не буде суттєвим генератором попиту на офісні приміщення, але з часом розвиток фінансового сектору призведе до того, що фінансові компанії і комерційні банки нададуть один з найбільших попитів на офісну нерухомість в Києві.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Вже в короткостроковій перспективі декілька комерційних банків шукають можливості для консолідації свого портфоліо офісних приміщень, які сьогодні розташовані у різних частинах міста, і оренди приміщень більшої площі, вищої якості, а також за нижчою орендною ставкою. Саме такі можливості створює для них проект «Київ-Сіті».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Як свідчать результати проведенного опитування, компанії у фінансовому секторі продемонстрували дуже високий інтерес до можливості розташування у проекті. Комерційні банки, що є переважно міжнародними компаніями, є чутливими до затрат на робочу силу і приміщення при прийнятті рішень про розподіл ресурсів. Наявність ефективних і недорогих офісних приміщень є для них дуже вагомим фактором.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Проведений аналіз дозволяє дійти висновку, що фінансовий сектор у проекті «Київ-Сіті» забезпечить:</w:t>
      </w:r>
    </w:p>
    <w:p w:rsidR="003F5415" w:rsidRPr="009457BA" w:rsidRDefault="003F5415" w:rsidP="003F54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lastRenderedPageBreak/>
        <w:t>від 25% до 40% загального попиту на офісні приміщення у проекті;</w:t>
      </w:r>
    </w:p>
    <w:p w:rsidR="003F5415" w:rsidRPr="009457BA" w:rsidRDefault="003F5415" w:rsidP="003F54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від 7000 до 12 000 робочих місць.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i/>
          <w:noProof/>
          <w:color w:val="000000"/>
          <w:position w:val="3"/>
          <w:sz w:val="28"/>
          <w:szCs w:val="28"/>
          <w:lang w:val="uk-UA"/>
        </w:rPr>
        <w:t>Промисловий і виробничий сектор.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 xml:space="preserve"> Максимум 56% всіх опитаних виробничих і дистрибуційних компаній були потенційно зацікавлені в офісних приміщеннях у проекті «Київ-Сіті». Однак, зважаючи на значну питому вагу цього сектору в загальному обсязі попиту в сегменті офісної нерухомості у Києві, він володіє високим потенціалом для «Київ-Сіті».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Вимоги промислових, виробничих і дистрибуційних компаній до офісних приміщень є подібними до тих, які мають компанії фінансового сектору: ефективні приміщення великої площі, хороша видимість із головних транспортних магістралей у районі, середній рівень орендних ставок і розташування в районі з добре розвиненою системою громадського транспорту.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Зважаючи на це, можна очікувати, що промисловий і виробничий сектор у проекті «Київ-Сіті» забезпечить:</w:t>
      </w:r>
    </w:p>
    <w:p w:rsidR="003F5415" w:rsidRPr="009457BA" w:rsidRDefault="003F5415" w:rsidP="003F54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від 10% до 25% загального попиту на офісні приміщення у проекті;</w:t>
      </w:r>
    </w:p>
    <w:p w:rsidR="003F5415" w:rsidRPr="009457BA" w:rsidRDefault="003F5415" w:rsidP="003F54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від 2 500 до 5 500 робочих місць.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i/>
          <w:noProof/>
          <w:color w:val="000000"/>
          <w:position w:val="3"/>
          <w:sz w:val="28"/>
          <w:szCs w:val="28"/>
          <w:lang w:val="uk-UA"/>
        </w:rPr>
        <w:t>Реклама та медіа.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 xml:space="preserve"> Хоча цей сектор є невеликим, він має суттєвий потенціал зростання і проявив високу попередню зацікавленість проектом «Київ-Сіті» у випадку його розташування на лівоберіжжі.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Виходячи із міжнародного досвіду, компанії цього сектору, як правило, охоче переїжджають до офісних приміщень у нових ділових районах, але для них ключовим фактором прийняття відповідного рішення є наявність розвинутої соціально-побутової інфраструктури.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Зважаючи на менший розмір цього сектору в Україні, можна очікувати, що він у проекті «Київ-Сіті» забезпечить:</w:t>
      </w:r>
    </w:p>
    <w:p w:rsidR="003F5415" w:rsidRPr="009457BA" w:rsidRDefault="003F5415" w:rsidP="003F54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від 5% до 15% загального попиту на офісні приміщення у проекті;</w:t>
      </w:r>
    </w:p>
    <w:p w:rsidR="003F5415" w:rsidRPr="009457BA" w:rsidRDefault="003F5415" w:rsidP="003F54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від 1 500 до 5 000 робочих місць.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i/>
          <w:noProof/>
          <w:color w:val="000000"/>
          <w:position w:val="3"/>
          <w:sz w:val="28"/>
          <w:szCs w:val="28"/>
          <w:lang w:val="uk-UA"/>
        </w:rPr>
        <w:t>Сектор інформаційно-комунікаційних технологій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 xml:space="preserve">. Попередній аналіз показує, що цей сектор залишиться одним із основних генераторів попиту на 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lastRenderedPageBreak/>
        <w:t>офісні приміщення у Києві, а тому є одним з цільових груп орендарів у перспективному діловому районі «Київ-Сіті», проте не на перших етапах реалізації проекту, коли у проекті ще не буде критичної маси і цей новий район ще не сформується.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Найважливішим фактором для компаній в ІСТ секторі є не вартість оренди офісних приміщень, а привабливість для найталановітіших працівників і створення для них мотиваційного робочего середовища.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Компанії в секторі ІСТ будуть й надалі розвиватися, спеціалізуючись або на креативній та розробницькій діяльності, або на рутинній функції підтримки. Для кожної з таких функцій є особливі умови щодо офісних приміщень.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Креативний творчий сегмент компаній не дуже полюбляє офісні будівлі формату бізнес-парк. Однак для спеціалістів, які виконують рутинні функції підтримки, такий тип приміщень є оптимальним, оскільки вони зацікавлені в оренді дешевших офісних приміщень більшої площі, розташованих в районах з добре розвиненою системою громадського транспорту, оскільки їх основними працівниками є молоді спеціалісти без власного автомобіля.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Зважаючи на ці міркування, можна очікувати, що у проекті «Київ-Сіті» цей сектор забезпечить:</w:t>
      </w:r>
    </w:p>
    <w:p w:rsidR="003F5415" w:rsidRPr="009457BA" w:rsidRDefault="003F5415" w:rsidP="003F54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від 10% до 20% загального попиту на офісні приміщення у проекті;</w:t>
      </w:r>
    </w:p>
    <w:p w:rsidR="003F5415" w:rsidRPr="009457BA" w:rsidRDefault="003F5415" w:rsidP="003F54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від 1 500 до 5 000 робочих місць.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Інші менші сегменти ділової активності можуть забезпечити від 3 000 до 16 000 робочих місць у проекті. Таким чином, за 20 років у проекті «Київ-Сіті» може бути створено від 25 000 до 30 000 робочих місць.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 xml:space="preserve">Хоча на початкових фазах реалізації проекту «Київ-Сіті» більша частина попиту на офісні приміщення у проекті буде генеруватися компаніями у цих цільових секторах ділової активності, які займатимуть найбільші площі, на більш піздніших етапах у проекті з’являться інші менші компанії з більшості секторів економіки (наприклад, компанії у секторі бізнес-послуг переважно переміщуються до проектів такого типу тоді, коли </w:t>
      </w: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lastRenderedPageBreak/>
        <w:t>там вже утвердяться їхні ключові клієнти.</w:t>
      </w:r>
    </w:p>
    <w:p w:rsidR="003F5415" w:rsidRPr="009457BA" w:rsidRDefault="003F5415" w:rsidP="003F541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</w:pPr>
      <w:r w:rsidRPr="009457BA">
        <w:rPr>
          <w:rFonts w:ascii="Times New Roman" w:hAnsi="Times New Roman"/>
          <w:noProof/>
          <w:color w:val="000000"/>
          <w:position w:val="3"/>
          <w:sz w:val="28"/>
          <w:szCs w:val="28"/>
          <w:lang w:val="uk-UA"/>
        </w:rPr>
        <w:t>Крім того, перші орендарі суттєво впливають на профіль орендарів у подібному проекті, якщо перші орендарі будуть, наприклад, великі фінансові компанії, то інші компанії фінансового сектору також ймовірно перемістяться до проекту.</w:t>
      </w:r>
    </w:p>
    <w:p w:rsidR="00FD1633" w:rsidRDefault="00FD1633"/>
    <w:sectPr w:rsidR="00FD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971"/>
    <w:multiLevelType w:val="hybridMultilevel"/>
    <w:tmpl w:val="C5A49D42"/>
    <w:lvl w:ilvl="0" w:tplc="3BB291F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46"/>
    <w:rsid w:val="003F5415"/>
    <w:rsid w:val="00904246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15"/>
    <w:pPr>
      <w:widowControl w:val="0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415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15"/>
    <w:pPr>
      <w:widowControl w:val="0"/>
    </w:pPr>
    <w:rPr>
      <w:rFonts w:ascii="Calibri" w:eastAsia="Times New Roman" w:hAnsi="Calibri" w:cs="Times New Roman"/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415"/>
    <w:rPr>
      <w:rFonts w:ascii="Tahoma" w:eastAsia="Times New Roma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2207</Words>
  <Characters>12583</Characters>
  <Application>Microsoft Office Word</Application>
  <DocSecurity>0</DocSecurity>
  <Lines>104</Lines>
  <Paragraphs>29</Paragraphs>
  <ScaleCrop>false</ScaleCrop>
  <Company/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2013-07-18T08:52:00Z</dcterms:created>
  <dcterms:modified xsi:type="dcterms:W3CDTF">2013-07-18T08:52:00Z</dcterms:modified>
</cp:coreProperties>
</file>