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bookmarkStart w:id="0" w:name="_GoBack"/>
      <w:r w:rsidRPr="00C8397D">
        <w:rPr>
          <w:rFonts w:ascii="Times New Roman" w:hAnsi="Times New Roman"/>
          <w:b/>
          <w:sz w:val="28"/>
          <w:szCs w:val="28"/>
          <w:lang w:val="uk-UA"/>
        </w:rPr>
        <w:t xml:space="preserve">3.2.1.2. Огляд ринку готельної нерухомості у місті Київ </w:t>
      </w:r>
    </w:p>
    <w:bookmarkEnd w:id="0"/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Основні висновки:</w:t>
      </w:r>
    </w:p>
    <w:p w:rsidR="002D2484" w:rsidRPr="00C8397D" w:rsidRDefault="002D2484" w:rsidP="002D2484">
      <w:pPr>
        <w:numPr>
          <w:ilvl w:val="1"/>
          <w:numId w:val="1"/>
        </w:numPr>
        <w:tabs>
          <w:tab w:val="clear" w:pos="2149"/>
          <w:tab w:val="left" w:pos="990"/>
          <w:tab w:val="num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Ринок готельної нерухомості у Києві є структурно ненасичений з точки зору його наповнення якісними міжнародними операторами, хоча значний об’єм нової пропозиції запланований до реалізації впродовж наступних 3-5 років.</w:t>
      </w:r>
    </w:p>
    <w:p w:rsidR="002D2484" w:rsidRPr="00C8397D" w:rsidRDefault="002D2484" w:rsidP="002D2484">
      <w:pPr>
        <w:numPr>
          <w:ilvl w:val="1"/>
          <w:numId w:val="1"/>
        </w:numPr>
        <w:tabs>
          <w:tab w:val="clear" w:pos="2149"/>
          <w:tab w:val="left" w:pos="990"/>
          <w:tab w:val="num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Ґрунтуючись на даних за період з 2009 року по 2010 рік, ринок готельної нерухомості у місті Києві відновив тенденцію, що до зростання показників завантаженості та рівню ADR, після негативного впливу фінансової кризи 2009 року. Спираючись на результати аналізу проведеного між міжнародними операторами готельної нерухомості у 2011 році, середній ринковий ADR був зареєстрований у розмірі 2 136,96 грн. (EUR 215,23), у той час як, рівень завантаженості готелів становив 60.4%.</w:t>
      </w:r>
    </w:p>
    <w:p w:rsidR="002D2484" w:rsidRPr="00C8397D" w:rsidRDefault="002D2484" w:rsidP="002D2484">
      <w:pPr>
        <w:numPr>
          <w:ilvl w:val="1"/>
          <w:numId w:val="1"/>
        </w:numPr>
        <w:tabs>
          <w:tab w:val="clear" w:pos="2149"/>
          <w:tab w:val="left" w:pos="990"/>
          <w:tab w:val="num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Згідно Всесвітній Раді Подорожей та Туризму (WTTC), кількість відвідувачів в Україні зросте з 20 мільйонів у 2012 році до 25,87 мільйонів відвідувачів у 2022 році. Даний показник відображає зростання кількості відвідувачів у Києві з 6 мільйонів туристів у 2012 році до 7,8 мільйонів туристів у 2022 році.</w:t>
      </w:r>
    </w:p>
    <w:p w:rsidR="002D2484" w:rsidRPr="00C8397D" w:rsidRDefault="002D2484" w:rsidP="002D2484">
      <w:pPr>
        <w:numPr>
          <w:ilvl w:val="1"/>
          <w:numId w:val="1"/>
        </w:numPr>
        <w:tabs>
          <w:tab w:val="clear" w:pos="2149"/>
          <w:tab w:val="left" w:pos="990"/>
          <w:tab w:val="num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Загальний обсяг пропозиції на ринку готельної нерухомості у Києві, у розмірі 9 800 номерів, 6 444 з яких можуть бути розглянуті як якісні готельні номери. Аналіз майбутньої пропозиції на ринку готельної нерухомості виявив додаткові 1 468 номерів заявлених до реалізації, які відображають 22,8% від загальної кількості якісних номерів. Аналіз попиту на ринку готельної нерухомості виявив, що майбутня пропозиція, заявлена до реалізації у місті Києві на час аналізу, відображає лише 49,4 - 53,5%від загальної потреби у якісних готельних номерах до 2022 року.</w:t>
      </w:r>
    </w:p>
    <w:p w:rsidR="002D2484" w:rsidRPr="00C8397D" w:rsidRDefault="002D2484" w:rsidP="002D2484">
      <w:pPr>
        <w:numPr>
          <w:ilvl w:val="1"/>
          <w:numId w:val="1"/>
        </w:numPr>
        <w:tabs>
          <w:tab w:val="clear" w:pos="2149"/>
          <w:tab w:val="left" w:pos="990"/>
          <w:tab w:val="num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 xml:space="preserve">Ринок готельної нерухомості може буде розділений на дві категорії: міжнародні мережеві готелі преміум класу/готелі вищої середньої цінової категорії, та самостійно-оперовані локальні готелі. Міжнародний бізнес сегмент є майже єдиним користувачем мережевих готелів. Сегмент </w:t>
      </w:r>
      <w:r w:rsidRPr="00C8397D">
        <w:rPr>
          <w:rFonts w:ascii="Times New Roman" w:hAnsi="Times New Roman"/>
          <w:sz w:val="28"/>
          <w:szCs w:val="28"/>
          <w:lang w:val="uk-UA"/>
        </w:rPr>
        <w:lastRenderedPageBreak/>
        <w:t>відпочинку та розваг повністю представлений локальними, не мережевими операторами.</w:t>
      </w:r>
    </w:p>
    <w:p w:rsidR="002D2484" w:rsidRPr="00C8397D" w:rsidRDefault="002D2484" w:rsidP="002D2484">
      <w:pPr>
        <w:numPr>
          <w:ilvl w:val="1"/>
          <w:numId w:val="1"/>
        </w:numPr>
        <w:tabs>
          <w:tab w:val="clear" w:pos="2149"/>
          <w:tab w:val="left" w:pos="990"/>
          <w:tab w:val="num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Консультації з міжнародними мережевими операторами готельної нерухомості, присутніми на національному ринку, виявили очікування зниження рівня ADR в коротко та середньостроковій перспективі в сегменті міжнародних мережевих готелів преміум класу/готелів вищої середньої цінової категорії в розмірі до 25%.</w:t>
      </w:r>
    </w:p>
    <w:p w:rsidR="002D2484" w:rsidRPr="00C8397D" w:rsidRDefault="002D2484" w:rsidP="002D2484">
      <w:pPr>
        <w:numPr>
          <w:ilvl w:val="1"/>
          <w:numId w:val="1"/>
        </w:numPr>
        <w:tabs>
          <w:tab w:val="clear" w:pos="2149"/>
          <w:tab w:val="left" w:pos="990"/>
          <w:tab w:val="num" w:pos="10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У Києві нараховується приблизно 6 444 готельні номери, які можуть бути розглянуті як конкурентоспроможні по відношенню до проекту «Київ Сіті». На кінець 2011 року, приблизно 28% від загальної кількості готельних номерів у Києві були оперовані міжнародними готельними операторами. Основні конкурентоспроможні готелі у Києві, зазначені у цьому розділі, включають: Hyatt, Intercontinental, Radisson Blu, «Опера», «Прем’єр Палас» та Ibis, а також недавно відчинені Fairmont Grand Hotel Kyiv та Ramada Encore по 258 та 322 номери відповідно.</w:t>
      </w:r>
    </w:p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47B5ABF4" wp14:editId="1F92800A">
            <wp:extent cx="3774440" cy="2169160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2" t="32495" r="60417" b="34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highlight w:val="yellow"/>
          <w:lang w:val="uk-UA"/>
        </w:rPr>
        <w:t>Рисунок 4.3.2.1</w:t>
      </w:r>
      <w:r w:rsidRPr="00C8397D">
        <w:rPr>
          <w:rFonts w:ascii="Times New Roman" w:hAnsi="Times New Roman"/>
          <w:sz w:val="28"/>
          <w:szCs w:val="28"/>
          <w:lang w:val="uk-UA"/>
        </w:rPr>
        <w:t xml:space="preserve"> - Основні показники ринку готельної нерухомості у місті Київ, 2008 – 2011</w:t>
      </w:r>
    </w:p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8397D">
        <w:rPr>
          <w:rFonts w:ascii="Times New Roman" w:hAnsi="Times New Roman"/>
          <w:i/>
          <w:sz w:val="28"/>
          <w:szCs w:val="28"/>
          <w:lang w:val="uk-UA"/>
        </w:rPr>
        <w:t>Пропозиція на ринку готелів у місті Київ</w:t>
      </w:r>
    </w:p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За даними Державного комітету статистики, на початок 2011 року, в Києві налічувалося 133 готеля та інших видів короткострокового проживання, або 9 807 номери, більшість з яких представлені в локальному економ сегменті.</w:t>
      </w:r>
    </w:p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 xml:space="preserve">Нараховуэться приблизно 6 444 номери, які можуть бути </w:t>
      </w:r>
      <w:r w:rsidRPr="00C8397D">
        <w:rPr>
          <w:rFonts w:ascii="Times New Roman" w:hAnsi="Times New Roman"/>
          <w:sz w:val="28"/>
          <w:szCs w:val="28"/>
          <w:lang w:val="uk-UA"/>
        </w:rPr>
        <w:lastRenderedPageBreak/>
        <w:t>конкурентоспроможними по відношенню до проекту «Київ Сіті». На кінець 2011, близько 27% від всієї якісної пропозиції готельних номерів у місті Києві були оперовані міжнародними готельними операторами. Якісні, конкурентоспроможні готелі у місті Києві включають наступні: Hyatt, Intercontinental, Radisson Blu, «Опера», «Прем’єр Палац», «Рив’єра», Ibis та нещодавно відкриті Fairmont Grand Hotel Kyiv та Ramada Encore на 258 і 322 номери кожна. Існує лімітована присутність якісних міжнародних «сервіс апартаментів».</w:t>
      </w:r>
    </w:p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Основні конкурентоспроможні готелі у місті Київ, які наведені у таблиці нижче.</w:t>
      </w:r>
    </w:p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highlight w:val="yellow"/>
          <w:lang w:val="uk-UA"/>
        </w:rPr>
        <w:t>Таблиця 4.3.2</w:t>
      </w:r>
      <w:r w:rsidRPr="00C8397D">
        <w:rPr>
          <w:rFonts w:ascii="Times New Roman" w:hAnsi="Times New Roman"/>
          <w:sz w:val="28"/>
          <w:szCs w:val="28"/>
          <w:lang w:val="uk-UA"/>
        </w:rPr>
        <w:t>.4  - Основні якісні готелі міста Київ станом на 2кв. 2012 року</w:t>
      </w:r>
    </w:p>
    <w:tbl>
      <w:tblPr>
        <w:tblpPr w:leftFromText="181" w:rightFromText="181" w:vertAnchor="text" w:horzAnchor="margin" w:tblpY="4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73"/>
        <w:gridCol w:w="4374"/>
        <w:gridCol w:w="2681"/>
      </w:tblGrid>
      <w:tr w:rsidR="002D2484" w:rsidRPr="00C8397D" w:rsidTr="00BA5963">
        <w:trPr>
          <w:trHeight w:hRule="exact" w:val="298"/>
        </w:trPr>
        <w:tc>
          <w:tcPr>
            <w:tcW w:w="2773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pacing w:val="2"/>
                <w:sz w:val="28"/>
                <w:szCs w:val="28"/>
              </w:rPr>
              <w:t>Сегмент</w:t>
            </w: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pacing w:val="4"/>
                <w:sz w:val="28"/>
                <w:szCs w:val="28"/>
              </w:rPr>
              <w:t>Назва</w:t>
            </w: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готелю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Кількість</w:t>
            </w:r>
            <w:r w:rsidRPr="00C8397D">
              <w:rPr>
                <w:rFonts w:ascii="Times New Roman" w:hAnsi="Times New Roman"/>
                <w:noProof/>
                <w:color w:val="000000"/>
                <w:spacing w:val="8"/>
                <w:sz w:val="28"/>
                <w:szCs w:val="28"/>
              </w:rPr>
              <w:t> </w:t>
            </w:r>
            <w:r w:rsidRPr="00C8397D">
              <w:rPr>
                <w:rFonts w:ascii="Times New Roman" w:hAnsi="Times New Roman"/>
                <w:noProof/>
                <w:color w:val="000000"/>
                <w:spacing w:val="-4"/>
                <w:sz w:val="28"/>
                <w:szCs w:val="28"/>
              </w:rPr>
              <w:t>номерів</w:t>
            </w:r>
          </w:p>
        </w:tc>
      </w:tr>
      <w:tr w:rsidR="002D2484" w:rsidRPr="00C8397D" w:rsidTr="00BA5963">
        <w:trPr>
          <w:trHeight w:hRule="exact" w:val="278"/>
        </w:trPr>
        <w:tc>
          <w:tcPr>
            <w:tcW w:w="2773" w:type="dxa"/>
            <w:vMerge w:val="restart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pacing w:val="-1"/>
                <w:sz w:val="28"/>
                <w:szCs w:val="28"/>
              </w:rPr>
              <w:t>Преміум</w:t>
            </w:r>
            <w:r w:rsidRPr="00C8397D">
              <w:rPr>
                <w:rFonts w:ascii="Times New Roman" w:hAnsi="Times New Roman"/>
                <w:noProof/>
                <w:color w:val="000000"/>
                <w:spacing w:val="8"/>
                <w:sz w:val="28"/>
                <w:szCs w:val="28"/>
                <w:lang w:val="ru-RU"/>
              </w:rPr>
              <w:t xml:space="preserve"> </w:t>
            </w:r>
            <w:r w:rsidRPr="00C8397D">
              <w:rPr>
                <w:rFonts w:ascii="Times New Roman" w:hAnsi="Times New Roman"/>
                <w:noProof/>
                <w:color w:val="000000"/>
                <w:spacing w:val="1"/>
                <w:sz w:val="28"/>
                <w:szCs w:val="28"/>
              </w:rPr>
              <w:t>клас</w:t>
            </w: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Fairmont</w:t>
            </w:r>
            <w:r w:rsidRPr="00C8397D">
              <w:rPr>
                <w:rFonts w:ascii="Times New Roman" w:hAnsi="Times New Roman"/>
                <w:noProof/>
                <w:color w:val="000000"/>
                <w:spacing w:val="4"/>
                <w:sz w:val="28"/>
                <w:szCs w:val="28"/>
              </w:rPr>
              <w:t> </w:t>
            </w: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Grand</w:t>
            </w:r>
            <w:r w:rsidRPr="00C8397D">
              <w:rPr>
                <w:rFonts w:ascii="Times New Roman" w:hAnsi="Times New Roman"/>
                <w:noProof/>
                <w:color w:val="000000"/>
                <w:spacing w:val="4"/>
                <w:sz w:val="28"/>
                <w:szCs w:val="28"/>
              </w:rPr>
              <w:t> </w:t>
            </w: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Hotel</w:t>
            </w:r>
            <w:r w:rsidRPr="00C8397D">
              <w:rPr>
                <w:rFonts w:ascii="Times New Roman" w:hAnsi="Times New Roman"/>
                <w:noProof/>
                <w:color w:val="000000"/>
                <w:spacing w:val="4"/>
                <w:sz w:val="28"/>
                <w:szCs w:val="28"/>
              </w:rPr>
              <w:t> </w:t>
            </w:r>
            <w:r w:rsidRPr="00C8397D">
              <w:rPr>
                <w:rFonts w:ascii="Times New Roman" w:hAnsi="Times New Roman"/>
                <w:noProof/>
                <w:color w:val="000000"/>
                <w:spacing w:val="-1"/>
                <w:sz w:val="28"/>
                <w:szCs w:val="28"/>
              </w:rPr>
              <w:t>Kyiv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259</w:t>
            </w:r>
          </w:p>
        </w:tc>
      </w:tr>
      <w:tr w:rsidR="002D2484" w:rsidRPr="00C8397D" w:rsidTr="00BA5963">
        <w:trPr>
          <w:trHeight w:hRule="exact" w:val="276"/>
        </w:trPr>
        <w:tc>
          <w:tcPr>
            <w:tcW w:w="2773" w:type="dxa"/>
            <w:vMerge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Hyatt</w:t>
            </w:r>
            <w:r w:rsidRPr="00C8397D">
              <w:rPr>
                <w:rFonts w:ascii="Times New Roman" w:hAnsi="Times New Roman"/>
                <w:noProof/>
                <w:color w:val="000000"/>
                <w:spacing w:val="4"/>
                <w:sz w:val="28"/>
                <w:szCs w:val="28"/>
              </w:rPr>
              <w:t> </w:t>
            </w: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Regency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234</w:t>
            </w:r>
          </w:p>
        </w:tc>
      </w:tr>
      <w:tr w:rsidR="002D2484" w:rsidRPr="00C8397D" w:rsidTr="00BA5963">
        <w:trPr>
          <w:trHeight w:hRule="exact" w:val="281"/>
        </w:trPr>
        <w:tc>
          <w:tcPr>
            <w:tcW w:w="2773" w:type="dxa"/>
            <w:vMerge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pacing w:val="-1"/>
                <w:sz w:val="28"/>
                <w:szCs w:val="28"/>
              </w:rPr>
              <w:t>Intercontinental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272</w:t>
            </w:r>
          </w:p>
        </w:tc>
      </w:tr>
      <w:tr w:rsidR="002D2484" w:rsidRPr="00C8397D" w:rsidTr="00BA5963">
        <w:trPr>
          <w:trHeight w:hRule="exact" w:val="274"/>
        </w:trPr>
        <w:tc>
          <w:tcPr>
            <w:tcW w:w="2773" w:type="dxa"/>
            <w:vMerge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«</w:t>
            </w: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Прем</w:t>
            </w: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’</w:t>
            </w:r>
            <w:r w:rsidRPr="00C8397D">
              <w:rPr>
                <w:rFonts w:ascii="Times New Roman" w:hAnsi="Times New Roman"/>
                <w:noProof/>
                <w:color w:val="000000"/>
                <w:spacing w:val="-1"/>
                <w:sz w:val="28"/>
                <w:szCs w:val="28"/>
              </w:rPr>
              <w:t>єр</w:t>
            </w:r>
            <w:r w:rsidRPr="00C8397D">
              <w:rPr>
                <w:rFonts w:ascii="Times New Roman" w:hAnsi="Times New Roman"/>
                <w:noProof/>
                <w:color w:val="000000"/>
                <w:spacing w:val="3"/>
                <w:sz w:val="28"/>
                <w:szCs w:val="28"/>
              </w:rPr>
              <w:t> Палац</w:t>
            </w: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287</w:t>
            </w:r>
          </w:p>
        </w:tc>
      </w:tr>
      <w:tr w:rsidR="002D2484" w:rsidRPr="00C8397D" w:rsidTr="00BA5963">
        <w:trPr>
          <w:trHeight w:hRule="exact" w:val="281"/>
        </w:trPr>
        <w:tc>
          <w:tcPr>
            <w:tcW w:w="2773" w:type="dxa"/>
            <w:vMerge w:val="restart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pacing w:val="2"/>
                <w:sz w:val="28"/>
                <w:szCs w:val="28"/>
              </w:rPr>
              <w:t>Готелі</w:t>
            </w:r>
            <w:r w:rsidRPr="00C8397D">
              <w:rPr>
                <w:rFonts w:ascii="Times New Roman" w:hAnsi="Times New Roman"/>
                <w:noProof/>
                <w:color w:val="000000"/>
                <w:spacing w:val="8"/>
                <w:sz w:val="28"/>
                <w:szCs w:val="28"/>
              </w:rPr>
              <w:t xml:space="preserve"> </w:t>
            </w:r>
            <w:r w:rsidRPr="00C8397D">
              <w:rPr>
                <w:rFonts w:ascii="Times New Roman" w:hAnsi="Times New Roman"/>
                <w:noProof/>
                <w:color w:val="000000"/>
                <w:spacing w:val="-1"/>
                <w:sz w:val="28"/>
                <w:szCs w:val="28"/>
              </w:rPr>
              <w:t xml:space="preserve">вищої </w:t>
            </w: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середньої</w:t>
            </w:r>
            <w:r w:rsidRPr="00C8397D">
              <w:rPr>
                <w:rFonts w:ascii="Times New Roman" w:hAnsi="Times New Roman"/>
                <w:noProof/>
                <w:color w:val="000000"/>
                <w:spacing w:val="8"/>
                <w:sz w:val="28"/>
                <w:szCs w:val="28"/>
              </w:rPr>
              <w:t xml:space="preserve"> </w:t>
            </w:r>
            <w:r w:rsidRPr="00C8397D">
              <w:rPr>
                <w:rFonts w:ascii="Times New Roman" w:hAnsi="Times New Roman"/>
                <w:noProof/>
                <w:color w:val="000000"/>
                <w:spacing w:val="-4"/>
                <w:sz w:val="28"/>
                <w:szCs w:val="28"/>
              </w:rPr>
              <w:t xml:space="preserve">цінової </w:t>
            </w:r>
            <w:r w:rsidRPr="00C8397D">
              <w:rPr>
                <w:rFonts w:ascii="Times New Roman" w:hAnsi="Times New Roman"/>
                <w:noProof/>
                <w:color w:val="000000"/>
                <w:spacing w:val="-2"/>
                <w:sz w:val="28"/>
                <w:szCs w:val="28"/>
              </w:rPr>
              <w:t>категорії</w:t>
            </w: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«</w:t>
            </w: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Опера</w:t>
            </w: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138</w:t>
            </w:r>
          </w:p>
        </w:tc>
      </w:tr>
      <w:tr w:rsidR="002D2484" w:rsidRPr="00C8397D" w:rsidTr="00BA5963">
        <w:trPr>
          <w:trHeight w:hRule="exact" w:val="276"/>
        </w:trPr>
        <w:tc>
          <w:tcPr>
            <w:tcW w:w="2773" w:type="dxa"/>
            <w:vMerge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Radisson</w:t>
            </w:r>
            <w:r w:rsidRPr="00C8397D">
              <w:rPr>
                <w:rFonts w:ascii="Times New Roman" w:hAnsi="Times New Roman"/>
                <w:noProof/>
                <w:color w:val="000000"/>
                <w:spacing w:val="4"/>
                <w:sz w:val="28"/>
                <w:szCs w:val="28"/>
              </w:rPr>
              <w:t> </w:t>
            </w:r>
            <w:r w:rsidRPr="00C8397D">
              <w:rPr>
                <w:rFonts w:ascii="Times New Roman" w:hAnsi="Times New Roman"/>
                <w:noProof/>
                <w:color w:val="000000"/>
                <w:spacing w:val="-1"/>
                <w:sz w:val="28"/>
                <w:szCs w:val="28"/>
              </w:rPr>
              <w:t>Blu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255</w:t>
            </w:r>
          </w:p>
        </w:tc>
      </w:tr>
      <w:tr w:rsidR="002D2484" w:rsidRPr="00C8397D" w:rsidTr="00BA5963">
        <w:trPr>
          <w:trHeight w:hRule="exact" w:val="278"/>
        </w:trPr>
        <w:tc>
          <w:tcPr>
            <w:tcW w:w="2773" w:type="dxa"/>
            <w:vMerge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«</w:t>
            </w:r>
            <w:r w:rsidRPr="00C8397D">
              <w:rPr>
                <w:rFonts w:ascii="Times New Roman" w:hAnsi="Times New Roman"/>
                <w:noProof/>
                <w:color w:val="000000"/>
                <w:spacing w:val="3"/>
                <w:sz w:val="28"/>
                <w:szCs w:val="28"/>
              </w:rPr>
              <w:t>Рив</w:t>
            </w: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’</w:t>
            </w:r>
            <w:r w:rsidRPr="00C8397D">
              <w:rPr>
                <w:rFonts w:ascii="Times New Roman" w:hAnsi="Times New Roman"/>
                <w:noProof/>
                <w:color w:val="000000"/>
                <w:spacing w:val="3"/>
                <w:sz w:val="28"/>
                <w:szCs w:val="28"/>
              </w:rPr>
              <w:t>єра</w:t>
            </w: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pacing w:val="-2"/>
                <w:sz w:val="28"/>
                <w:szCs w:val="28"/>
              </w:rPr>
              <w:t>78</w:t>
            </w:r>
          </w:p>
        </w:tc>
      </w:tr>
      <w:tr w:rsidR="002D2484" w:rsidRPr="00C8397D" w:rsidTr="00BA5963">
        <w:trPr>
          <w:trHeight w:hRule="exact" w:val="276"/>
        </w:trPr>
        <w:tc>
          <w:tcPr>
            <w:tcW w:w="2773" w:type="dxa"/>
            <w:vMerge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11</w:t>
            </w:r>
            <w:r w:rsidRPr="00C8397D">
              <w:rPr>
                <w:rFonts w:ascii="Times New Roman" w:hAnsi="Times New Roman"/>
                <w:noProof/>
                <w:color w:val="000000"/>
                <w:spacing w:val="9"/>
                <w:sz w:val="28"/>
                <w:szCs w:val="28"/>
              </w:rPr>
              <w:t> </w:t>
            </w:r>
            <w:r w:rsidRPr="00C8397D">
              <w:rPr>
                <w:rFonts w:ascii="Times New Roman" w:hAnsi="Times New Roman"/>
                <w:noProof/>
                <w:color w:val="000000"/>
                <w:spacing w:val="-1"/>
                <w:sz w:val="28"/>
                <w:szCs w:val="28"/>
              </w:rPr>
              <w:t>Mirrors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pacing w:val="-2"/>
                <w:sz w:val="28"/>
                <w:szCs w:val="28"/>
              </w:rPr>
              <w:t>49</w:t>
            </w:r>
          </w:p>
        </w:tc>
      </w:tr>
      <w:tr w:rsidR="002D2484" w:rsidRPr="00C8397D" w:rsidTr="00BA5963">
        <w:trPr>
          <w:trHeight w:hRule="exact" w:val="281"/>
        </w:trPr>
        <w:tc>
          <w:tcPr>
            <w:tcW w:w="2773" w:type="dxa"/>
            <w:vMerge w:val="restart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pacing w:val="2"/>
                <w:sz w:val="28"/>
                <w:szCs w:val="28"/>
                <w:lang w:val="ru-RU"/>
              </w:rPr>
              <w:t>Г</w:t>
            </w:r>
            <w:r w:rsidRPr="00C8397D">
              <w:rPr>
                <w:rFonts w:ascii="Times New Roman" w:hAnsi="Times New Roman"/>
                <w:noProof/>
                <w:color w:val="000000"/>
                <w:spacing w:val="2"/>
                <w:sz w:val="28"/>
                <w:szCs w:val="28"/>
              </w:rPr>
              <w:t>отелі</w:t>
            </w:r>
            <w:r w:rsidRPr="00C8397D">
              <w:rPr>
                <w:rFonts w:ascii="Times New Roman" w:hAnsi="Times New Roman"/>
                <w:noProof/>
                <w:color w:val="000000"/>
                <w:spacing w:val="8"/>
                <w:sz w:val="28"/>
                <w:szCs w:val="28"/>
                <w:lang w:val="ru-RU"/>
              </w:rPr>
              <w:t xml:space="preserve"> </w:t>
            </w:r>
            <w:r w:rsidRPr="00C8397D">
              <w:rPr>
                <w:rFonts w:ascii="Times New Roman" w:hAnsi="Times New Roman"/>
                <w:noProof/>
                <w:color w:val="000000"/>
                <w:spacing w:val="1"/>
                <w:sz w:val="28"/>
                <w:szCs w:val="28"/>
              </w:rPr>
              <w:t>середньої</w:t>
            </w:r>
            <w:r w:rsidRPr="00C8397D">
              <w:rPr>
                <w:rFonts w:ascii="Times New Roman" w:hAnsi="Times New Roman"/>
                <w:noProof/>
                <w:color w:val="000000"/>
                <w:spacing w:val="1"/>
                <w:sz w:val="28"/>
                <w:szCs w:val="28"/>
                <w:lang w:val="ru-RU"/>
              </w:rPr>
              <w:t xml:space="preserve"> </w:t>
            </w:r>
            <w:r w:rsidRPr="00C8397D">
              <w:rPr>
                <w:rFonts w:ascii="Times New Roman" w:hAnsi="Times New Roman"/>
                <w:noProof/>
                <w:color w:val="000000"/>
                <w:spacing w:val="-4"/>
                <w:sz w:val="28"/>
                <w:szCs w:val="28"/>
              </w:rPr>
              <w:t>цінової</w:t>
            </w:r>
            <w:r w:rsidRPr="00C8397D">
              <w:rPr>
                <w:rFonts w:ascii="Times New Roman" w:hAnsi="Times New Roman"/>
                <w:noProof/>
                <w:color w:val="000000"/>
                <w:spacing w:val="13"/>
                <w:sz w:val="28"/>
                <w:szCs w:val="28"/>
                <w:lang w:val="ru-RU"/>
              </w:rPr>
              <w:t xml:space="preserve"> </w:t>
            </w:r>
            <w:r w:rsidRPr="00C8397D">
              <w:rPr>
                <w:rFonts w:ascii="Times New Roman" w:hAnsi="Times New Roman"/>
                <w:noProof/>
                <w:color w:val="000000"/>
                <w:spacing w:val="-2"/>
                <w:sz w:val="28"/>
                <w:szCs w:val="28"/>
              </w:rPr>
              <w:t>категорії</w:t>
            </w: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«</w:t>
            </w:r>
            <w:r w:rsidRPr="00C8397D">
              <w:rPr>
                <w:rFonts w:ascii="Times New Roman" w:hAnsi="Times New Roman"/>
                <w:noProof/>
                <w:color w:val="000000"/>
                <w:spacing w:val="-1"/>
                <w:sz w:val="28"/>
                <w:szCs w:val="28"/>
              </w:rPr>
              <w:t>Домус</w:t>
            </w: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pacing w:val="-2"/>
                <w:sz w:val="28"/>
                <w:szCs w:val="28"/>
              </w:rPr>
              <w:t>30</w:t>
            </w:r>
          </w:p>
        </w:tc>
      </w:tr>
      <w:tr w:rsidR="002D2484" w:rsidRPr="00C8397D" w:rsidTr="00BA5963">
        <w:trPr>
          <w:trHeight w:hRule="exact" w:val="274"/>
        </w:trPr>
        <w:tc>
          <w:tcPr>
            <w:tcW w:w="2773" w:type="dxa"/>
            <w:vMerge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«</w:t>
            </w:r>
            <w:r w:rsidRPr="00C8397D">
              <w:rPr>
                <w:rFonts w:ascii="Times New Roman" w:hAnsi="Times New Roman"/>
                <w:noProof/>
                <w:color w:val="000000"/>
                <w:spacing w:val="-6"/>
                <w:sz w:val="28"/>
                <w:szCs w:val="28"/>
              </w:rPr>
              <w:t>Дніпро</w:t>
            </w: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186</w:t>
            </w:r>
          </w:p>
        </w:tc>
      </w:tr>
      <w:tr w:rsidR="002D2484" w:rsidRPr="00C8397D" w:rsidTr="00BA5963">
        <w:trPr>
          <w:trHeight w:hRule="exact" w:val="274"/>
        </w:trPr>
        <w:tc>
          <w:tcPr>
            <w:tcW w:w="2773" w:type="dxa"/>
            <w:vMerge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«</w:t>
            </w:r>
            <w:r w:rsidRPr="00C8397D">
              <w:rPr>
                <w:rFonts w:ascii="Times New Roman" w:hAnsi="Times New Roman"/>
                <w:noProof/>
                <w:color w:val="000000"/>
                <w:spacing w:val="-1"/>
                <w:sz w:val="28"/>
                <w:szCs w:val="28"/>
              </w:rPr>
              <w:t>Джинтама</w:t>
            </w: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pacing w:val="-2"/>
                <w:sz w:val="28"/>
                <w:szCs w:val="28"/>
              </w:rPr>
              <w:t>23</w:t>
            </w:r>
          </w:p>
        </w:tc>
      </w:tr>
      <w:tr w:rsidR="002D2484" w:rsidRPr="00C8397D" w:rsidTr="00BA5963">
        <w:trPr>
          <w:trHeight w:hRule="exact" w:val="283"/>
        </w:trPr>
        <w:tc>
          <w:tcPr>
            <w:tcW w:w="2773" w:type="dxa"/>
            <w:vMerge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«</w:t>
            </w: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Хрещатик</w:t>
            </w: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130</w:t>
            </w:r>
          </w:p>
        </w:tc>
      </w:tr>
      <w:tr w:rsidR="002D2484" w:rsidRPr="00C8397D" w:rsidTr="00BA5963">
        <w:trPr>
          <w:trHeight w:hRule="exact" w:val="274"/>
        </w:trPr>
        <w:tc>
          <w:tcPr>
            <w:tcW w:w="2773" w:type="dxa"/>
            <w:vMerge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«</w:t>
            </w:r>
            <w:r w:rsidRPr="00C8397D">
              <w:rPr>
                <w:rFonts w:ascii="Times New Roman" w:hAnsi="Times New Roman"/>
                <w:noProof/>
                <w:color w:val="000000"/>
                <w:spacing w:val="-1"/>
                <w:sz w:val="28"/>
                <w:szCs w:val="28"/>
              </w:rPr>
              <w:t>Київ</w:t>
            </w: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187</w:t>
            </w:r>
          </w:p>
        </w:tc>
      </w:tr>
      <w:tr w:rsidR="002D2484" w:rsidRPr="00C8397D" w:rsidTr="00BA5963">
        <w:trPr>
          <w:trHeight w:hRule="exact" w:val="278"/>
        </w:trPr>
        <w:tc>
          <w:tcPr>
            <w:tcW w:w="2773" w:type="dxa"/>
            <w:vMerge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«</w:t>
            </w:r>
            <w:r w:rsidRPr="00C8397D">
              <w:rPr>
                <w:rFonts w:ascii="Times New Roman" w:hAnsi="Times New Roman"/>
                <w:noProof/>
                <w:color w:val="000000"/>
                <w:spacing w:val="-1"/>
                <w:sz w:val="28"/>
                <w:szCs w:val="28"/>
              </w:rPr>
              <w:t>Національний</w:t>
            </w: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pacing w:val="-2"/>
                <w:sz w:val="28"/>
                <w:szCs w:val="28"/>
              </w:rPr>
              <w:t>75</w:t>
            </w:r>
          </w:p>
        </w:tc>
      </w:tr>
      <w:tr w:rsidR="002D2484" w:rsidRPr="00C8397D" w:rsidTr="00BA5963">
        <w:trPr>
          <w:trHeight w:hRule="exact" w:val="278"/>
        </w:trPr>
        <w:tc>
          <w:tcPr>
            <w:tcW w:w="2773" w:type="dxa"/>
            <w:vMerge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«</w:t>
            </w: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Поділ</w:t>
            </w:r>
            <w:r w:rsidRPr="00C8397D">
              <w:rPr>
                <w:rFonts w:ascii="Times New Roman" w:hAnsi="Times New Roman"/>
                <w:noProof/>
                <w:color w:val="000000"/>
                <w:spacing w:val="8"/>
                <w:sz w:val="28"/>
                <w:szCs w:val="28"/>
              </w:rPr>
              <w:t> </w:t>
            </w:r>
            <w:r w:rsidRPr="00C8397D">
              <w:rPr>
                <w:rFonts w:ascii="Times New Roman" w:hAnsi="Times New Roman"/>
                <w:noProof/>
                <w:color w:val="000000"/>
                <w:spacing w:val="2"/>
                <w:sz w:val="28"/>
                <w:szCs w:val="28"/>
              </w:rPr>
              <w:t>плаза</w:t>
            </w: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pacing w:val="-2"/>
                <w:sz w:val="28"/>
                <w:szCs w:val="28"/>
              </w:rPr>
              <w:t>57</w:t>
            </w:r>
          </w:p>
        </w:tc>
      </w:tr>
      <w:tr w:rsidR="002D2484" w:rsidRPr="00C8397D" w:rsidTr="00BA5963">
        <w:trPr>
          <w:trHeight w:hRule="exact" w:val="278"/>
        </w:trPr>
        <w:tc>
          <w:tcPr>
            <w:tcW w:w="2773" w:type="dxa"/>
            <w:vMerge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«</w:t>
            </w: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Президент</w:t>
            </w: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221</w:t>
            </w:r>
          </w:p>
        </w:tc>
      </w:tr>
      <w:tr w:rsidR="002D2484" w:rsidRPr="00C8397D" w:rsidTr="00BA5963">
        <w:trPr>
          <w:trHeight w:hRule="exact" w:val="274"/>
        </w:trPr>
        <w:tc>
          <w:tcPr>
            <w:tcW w:w="2773" w:type="dxa"/>
            <w:vMerge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«</w:t>
            </w:r>
            <w:r w:rsidRPr="00C8397D">
              <w:rPr>
                <w:rFonts w:ascii="Times New Roman" w:hAnsi="Times New Roman"/>
                <w:noProof/>
                <w:color w:val="000000"/>
                <w:spacing w:val="7"/>
                <w:sz w:val="28"/>
                <w:szCs w:val="28"/>
              </w:rPr>
              <w:t>Русь</w:t>
            </w:r>
            <w:r w:rsidRPr="00C8397D">
              <w:rPr>
                <w:rFonts w:ascii="Times New Roman" w:hAnsi="Times New Roman"/>
                <w:noProof/>
                <w:color w:val="000000"/>
                <w:spacing w:val="3"/>
                <w:sz w:val="28"/>
                <w:szCs w:val="28"/>
              </w:rPr>
              <w:t> </w:t>
            </w:r>
            <w:r w:rsidRPr="00C8397D">
              <w:rPr>
                <w:rFonts w:ascii="Times New Roman" w:hAnsi="Times New Roman"/>
                <w:noProof/>
                <w:color w:val="000000"/>
                <w:spacing w:val="-4"/>
                <w:sz w:val="28"/>
                <w:szCs w:val="28"/>
              </w:rPr>
              <w:t>Аккорд</w:t>
            </w:r>
            <w:r w:rsidRPr="00C8397D">
              <w:rPr>
                <w:rFonts w:ascii="Times New Roman" w:hAnsi="Times New Roman"/>
                <w:noProof/>
                <w:color w:val="000000"/>
                <w:spacing w:val="-1"/>
                <w:sz w:val="28"/>
                <w:szCs w:val="28"/>
              </w:rPr>
              <w:t> </w:t>
            </w:r>
            <w:r w:rsidRPr="00C8397D">
              <w:rPr>
                <w:rFonts w:ascii="Times New Roman" w:hAnsi="Times New Roman"/>
                <w:noProof/>
                <w:color w:val="000000"/>
                <w:spacing w:val="6"/>
                <w:sz w:val="28"/>
                <w:szCs w:val="28"/>
              </w:rPr>
              <w:t>Отель</w:t>
            </w: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450</w:t>
            </w:r>
          </w:p>
        </w:tc>
      </w:tr>
      <w:tr w:rsidR="002D2484" w:rsidRPr="00C8397D" w:rsidTr="00BA5963">
        <w:trPr>
          <w:trHeight w:hRule="exact" w:val="281"/>
        </w:trPr>
        <w:tc>
          <w:tcPr>
            <w:tcW w:w="2773" w:type="dxa"/>
            <w:vMerge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«</w:t>
            </w:r>
            <w:r w:rsidRPr="00C8397D">
              <w:rPr>
                <w:rFonts w:ascii="Times New Roman" w:hAnsi="Times New Roman"/>
                <w:noProof/>
                <w:color w:val="000000"/>
                <w:spacing w:val="3"/>
                <w:sz w:val="28"/>
                <w:szCs w:val="28"/>
              </w:rPr>
              <w:t>Альфавіто</w:t>
            </w: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275</w:t>
            </w:r>
          </w:p>
        </w:tc>
      </w:tr>
      <w:tr w:rsidR="002D2484" w:rsidRPr="00C8397D" w:rsidTr="00BA5963">
        <w:trPr>
          <w:trHeight w:hRule="exact" w:val="276"/>
        </w:trPr>
        <w:tc>
          <w:tcPr>
            <w:tcW w:w="2773" w:type="dxa"/>
            <w:vMerge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«</w:t>
            </w: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Україна</w:t>
            </w: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370</w:t>
            </w:r>
          </w:p>
        </w:tc>
      </w:tr>
      <w:tr w:rsidR="002D2484" w:rsidRPr="00C8397D" w:rsidTr="00BA5963">
        <w:trPr>
          <w:trHeight w:hRule="exact" w:val="278"/>
        </w:trPr>
        <w:tc>
          <w:tcPr>
            <w:tcW w:w="2773" w:type="dxa"/>
            <w:vMerge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«</w:t>
            </w:r>
            <w:r w:rsidRPr="00C8397D">
              <w:rPr>
                <w:rFonts w:ascii="Times New Roman" w:hAnsi="Times New Roman"/>
                <w:noProof/>
                <w:color w:val="000000"/>
                <w:spacing w:val="-1"/>
                <w:sz w:val="28"/>
                <w:szCs w:val="28"/>
              </w:rPr>
              <w:t>Воздвиженський</w:t>
            </w: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pacing w:val="-2"/>
                <w:sz w:val="28"/>
                <w:szCs w:val="28"/>
              </w:rPr>
              <w:t>25</w:t>
            </w:r>
          </w:p>
        </w:tc>
      </w:tr>
      <w:tr w:rsidR="002D2484" w:rsidRPr="00C8397D" w:rsidTr="00BA5963">
        <w:trPr>
          <w:trHeight w:hRule="exact" w:val="276"/>
        </w:trPr>
        <w:tc>
          <w:tcPr>
            <w:tcW w:w="2773" w:type="dxa"/>
            <w:vMerge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«</w:t>
            </w:r>
            <w:r w:rsidRPr="00C8397D">
              <w:rPr>
                <w:rFonts w:ascii="Times New Roman" w:hAnsi="Times New Roman"/>
                <w:noProof/>
                <w:color w:val="000000"/>
                <w:spacing w:val="-1"/>
                <w:sz w:val="28"/>
                <w:szCs w:val="28"/>
              </w:rPr>
              <w:t>Космополітъ</w:t>
            </w: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160</w:t>
            </w:r>
          </w:p>
        </w:tc>
      </w:tr>
      <w:tr w:rsidR="002D2484" w:rsidRPr="00C8397D" w:rsidTr="00BA5963">
        <w:trPr>
          <w:trHeight w:hRule="exact" w:val="281"/>
        </w:trPr>
        <w:tc>
          <w:tcPr>
            <w:tcW w:w="2773" w:type="dxa"/>
            <w:vMerge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pacing w:val="-1"/>
                <w:sz w:val="28"/>
                <w:szCs w:val="28"/>
              </w:rPr>
              <w:t>Holiday</w:t>
            </w:r>
            <w:r w:rsidRPr="00C8397D">
              <w:rPr>
                <w:rFonts w:ascii="Times New Roman" w:hAnsi="Times New Roman"/>
                <w:noProof/>
                <w:color w:val="000000"/>
                <w:spacing w:val="4"/>
                <w:sz w:val="28"/>
                <w:szCs w:val="28"/>
              </w:rPr>
              <w:t> </w:t>
            </w: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Inn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208</w:t>
            </w:r>
          </w:p>
        </w:tc>
      </w:tr>
      <w:tr w:rsidR="002D2484" w:rsidRPr="00C8397D" w:rsidTr="00BA5963">
        <w:trPr>
          <w:trHeight w:hRule="exact" w:val="274"/>
        </w:trPr>
        <w:tc>
          <w:tcPr>
            <w:tcW w:w="2773" w:type="dxa"/>
            <w:vMerge w:val="restart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pacing w:val="-1"/>
                <w:sz w:val="28"/>
                <w:szCs w:val="28"/>
              </w:rPr>
              <w:t>Економ</w:t>
            </w:r>
            <w:r w:rsidRPr="00C8397D">
              <w:rPr>
                <w:rFonts w:ascii="Times New Roman" w:hAnsi="Times New Roman"/>
                <w:noProof/>
                <w:color w:val="000000"/>
                <w:spacing w:val="8"/>
                <w:sz w:val="28"/>
                <w:szCs w:val="28"/>
              </w:rPr>
              <w:t> </w:t>
            </w: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готелі</w:t>
            </w: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«</w:t>
            </w:r>
            <w:r w:rsidRPr="00C8397D">
              <w:rPr>
                <w:rFonts w:ascii="Times New Roman" w:hAnsi="Times New Roman"/>
                <w:noProof/>
                <w:color w:val="000000"/>
                <w:spacing w:val="3"/>
                <w:sz w:val="28"/>
                <w:szCs w:val="28"/>
              </w:rPr>
              <w:t>Братіслава</w:t>
            </w: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337</w:t>
            </w:r>
          </w:p>
        </w:tc>
      </w:tr>
      <w:tr w:rsidR="002D2484" w:rsidRPr="00C8397D" w:rsidTr="00BA5963">
        <w:trPr>
          <w:trHeight w:hRule="exact" w:val="276"/>
        </w:trPr>
        <w:tc>
          <w:tcPr>
            <w:tcW w:w="2773" w:type="dxa"/>
            <w:vMerge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«</w:t>
            </w:r>
            <w:r w:rsidRPr="00C8397D">
              <w:rPr>
                <w:rFonts w:ascii="Times New Roman" w:hAnsi="Times New Roman"/>
                <w:noProof/>
                <w:color w:val="000000"/>
                <w:spacing w:val="-1"/>
                <w:sz w:val="28"/>
                <w:szCs w:val="28"/>
              </w:rPr>
              <w:t>Кооператор</w:t>
            </w: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pacing w:val="-2"/>
                <w:sz w:val="28"/>
                <w:szCs w:val="28"/>
              </w:rPr>
              <w:t>95</w:t>
            </w:r>
          </w:p>
        </w:tc>
      </w:tr>
      <w:tr w:rsidR="002D2484" w:rsidRPr="00C8397D" w:rsidTr="00BA5963">
        <w:trPr>
          <w:trHeight w:hRule="exact" w:val="281"/>
        </w:trPr>
        <w:tc>
          <w:tcPr>
            <w:tcW w:w="2773" w:type="dxa"/>
            <w:vMerge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«</w:t>
            </w:r>
            <w:r w:rsidRPr="00C8397D">
              <w:rPr>
                <w:rFonts w:ascii="Times New Roman" w:hAnsi="Times New Roman"/>
                <w:noProof/>
                <w:color w:val="000000"/>
                <w:spacing w:val="-2"/>
                <w:sz w:val="28"/>
                <w:szCs w:val="28"/>
              </w:rPr>
              <w:t>Дружба</w:t>
            </w: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175</w:t>
            </w:r>
          </w:p>
        </w:tc>
      </w:tr>
      <w:tr w:rsidR="002D2484" w:rsidRPr="00C8397D" w:rsidTr="00BA5963">
        <w:trPr>
          <w:trHeight w:hRule="exact" w:val="420"/>
        </w:trPr>
        <w:tc>
          <w:tcPr>
            <w:tcW w:w="2773" w:type="dxa"/>
            <w:vMerge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«</w:t>
            </w:r>
            <w:r w:rsidRPr="00C8397D">
              <w:rPr>
                <w:rFonts w:ascii="Times New Roman" w:hAnsi="Times New Roman"/>
                <w:noProof/>
                <w:color w:val="000000"/>
                <w:spacing w:val="2"/>
                <w:sz w:val="28"/>
                <w:szCs w:val="28"/>
              </w:rPr>
              <w:t>Експрес</w:t>
            </w: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143</w:t>
            </w:r>
          </w:p>
        </w:tc>
      </w:tr>
      <w:tr w:rsidR="002D2484" w:rsidRPr="00C8397D" w:rsidTr="00BA5963">
        <w:trPr>
          <w:trHeight w:hRule="exact" w:val="321"/>
        </w:trPr>
        <w:tc>
          <w:tcPr>
            <w:tcW w:w="2773" w:type="dxa"/>
            <w:vMerge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pacing w:val="-1"/>
                <w:sz w:val="28"/>
                <w:szCs w:val="28"/>
              </w:rPr>
              <w:t>Ibis</w:t>
            </w:r>
            <w:r w:rsidRPr="00C8397D">
              <w:rPr>
                <w:rFonts w:ascii="Times New Roman" w:hAnsi="Times New Roman"/>
                <w:noProof/>
                <w:color w:val="000000"/>
                <w:spacing w:val="9"/>
                <w:sz w:val="28"/>
                <w:szCs w:val="28"/>
              </w:rPr>
              <w:t> </w:t>
            </w:r>
            <w:r w:rsidRPr="00C8397D">
              <w:rPr>
                <w:rFonts w:ascii="Times New Roman" w:hAnsi="Times New Roman"/>
                <w:noProof/>
                <w:color w:val="000000"/>
                <w:spacing w:val="-1"/>
                <w:sz w:val="28"/>
                <w:szCs w:val="28"/>
              </w:rPr>
              <w:t>Kyiv</w:t>
            </w:r>
            <w:r w:rsidRPr="00C8397D">
              <w:rPr>
                <w:rFonts w:ascii="Times New Roman" w:hAnsi="Times New Roman"/>
                <w:noProof/>
                <w:color w:val="000000"/>
                <w:spacing w:val="4"/>
                <w:sz w:val="28"/>
                <w:szCs w:val="28"/>
              </w:rPr>
              <w:t> </w:t>
            </w:r>
            <w:r w:rsidRPr="00C8397D">
              <w:rPr>
                <w:rFonts w:ascii="Times New Roman" w:hAnsi="Times New Roman"/>
                <w:noProof/>
                <w:color w:val="000000"/>
                <w:spacing w:val="-1"/>
                <w:sz w:val="28"/>
                <w:szCs w:val="28"/>
              </w:rPr>
              <w:t>Shevchenko</w:t>
            </w:r>
            <w:r w:rsidRPr="00C8397D">
              <w:rPr>
                <w:rFonts w:ascii="Times New Roman" w:hAnsi="Times New Roman"/>
                <w:noProof/>
                <w:color w:val="000000"/>
                <w:spacing w:val="4"/>
                <w:sz w:val="28"/>
                <w:szCs w:val="28"/>
              </w:rPr>
              <w:t> </w:t>
            </w:r>
            <w:r w:rsidRPr="00C8397D">
              <w:rPr>
                <w:rFonts w:ascii="Times New Roman" w:hAnsi="Times New Roman"/>
                <w:noProof/>
                <w:color w:val="000000"/>
                <w:spacing w:val="-1"/>
                <w:sz w:val="28"/>
                <w:szCs w:val="28"/>
              </w:rPr>
              <w:t>Boulevard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212</w:t>
            </w:r>
          </w:p>
        </w:tc>
      </w:tr>
      <w:tr w:rsidR="002D2484" w:rsidRPr="00C8397D" w:rsidTr="00BA5963">
        <w:trPr>
          <w:trHeight w:hRule="exact" w:val="278"/>
        </w:trPr>
        <w:tc>
          <w:tcPr>
            <w:tcW w:w="2773" w:type="dxa"/>
            <w:vMerge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«</w:t>
            </w:r>
            <w:r w:rsidRPr="00C8397D">
              <w:rPr>
                <w:rFonts w:ascii="Times New Roman" w:hAnsi="Times New Roman"/>
                <w:noProof/>
                <w:color w:val="000000"/>
                <w:spacing w:val="-3"/>
                <w:sz w:val="28"/>
                <w:szCs w:val="28"/>
              </w:rPr>
              <w:t>Козацький</w:t>
            </w: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130</w:t>
            </w:r>
          </w:p>
        </w:tc>
      </w:tr>
      <w:tr w:rsidR="002D2484" w:rsidRPr="00C8397D" w:rsidTr="00BA5963">
        <w:trPr>
          <w:trHeight w:hRule="exact" w:val="278"/>
        </w:trPr>
        <w:tc>
          <w:tcPr>
            <w:tcW w:w="2773" w:type="dxa"/>
            <w:vMerge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«</w:t>
            </w: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Либідь</w:t>
            </w: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273</w:t>
            </w:r>
          </w:p>
        </w:tc>
      </w:tr>
      <w:tr w:rsidR="002D2484" w:rsidRPr="00C8397D" w:rsidTr="00BA5963">
        <w:trPr>
          <w:trHeight w:hRule="exact" w:val="274"/>
        </w:trPr>
        <w:tc>
          <w:tcPr>
            <w:tcW w:w="2773" w:type="dxa"/>
            <w:vMerge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«</w:t>
            </w:r>
            <w:r w:rsidRPr="00C8397D">
              <w:rPr>
                <w:rFonts w:ascii="Times New Roman" w:hAnsi="Times New Roman"/>
                <w:noProof/>
                <w:color w:val="000000"/>
                <w:spacing w:val="-9"/>
                <w:sz w:val="28"/>
                <w:szCs w:val="28"/>
              </w:rPr>
              <w:t>Мир</w:t>
            </w: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270</w:t>
            </w:r>
          </w:p>
        </w:tc>
      </w:tr>
      <w:tr w:rsidR="002D2484" w:rsidRPr="00C8397D" w:rsidTr="00BA5963">
        <w:trPr>
          <w:trHeight w:hRule="exact" w:val="281"/>
        </w:trPr>
        <w:tc>
          <w:tcPr>
            <w:tcW w:w="2773" w:type="dxa"/>
            <w:vMerge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«</w:t>
            </w:r>
            <w:r w:rsidRPr="00C8397D">
              <w:rPr>
                <w:rFonts w:ascii="Times New Roman" w:hAnsi="Times New Roman"/>
                <w:noProof/>
                <w:color w:val="000000"/>
                <w:spacing w:val="3"/>
                <w:sz w:val="28"/>
                <w:szCs w:val="28"/>
              </w:rPr>
              <w:t>Санкт</w:t>
            </w:r>
            <w:r w:rsidRPr="00C8397D">
              <w:rPr>
                <w:rFonts w:ascii="Times New Roman" w:hAnsi="Times New Roman"/>
                <w:noProof/>
                <w:color w:val="000000"/>
                <w:spacing w:val="-1"/>
                <w:sz w:val="28"/>
                <w:szCs w:val="28"/>
              </w:rPr>
              <w:t> </w:t>
            </w: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Петербург</w:t>
            </w: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pacing w:val="-2"/>
                <w:sz w:val="28"/>
                <w:szCs w:val="28"/>
              </w:rPr>
              <w:t>50</w:t>
            </w:r>
          </w:p>
        </w:tc>
      </w:tr>
      <w:tr w:rsidR="002D2484" w:rsidRPr="00C8397D" w:rsidTr="00BA5963">
        <w:trPr>
          <w:trHeight w:hRule="exact" w:val="276"/>
        </w:trPr>
        <w:tc>
          <w:tcPr>
            <w:tcW w:w="2773" w:type="dxa"/>
            <w:vMerge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«</w:t>
            </w:r>
            <w:r w:rsidRPr="00C8397D">
              <w:rPr>
                <w:rFonts w:ascii="Times New Roman" w:hAnsi="Times New Roman"/>
                <w:noProof/>
                <w:color w:val="000000"/>
                <w:spacing w:val="5"/>
                <w:sz w:val="28"/>
                <w:szCs w:val="28"/>
              </w:rPr>
              <w:t>Салют</w:t>
            </w: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pacing w:val="-2"/>
                <w:sz w:val="28"/>
                <w:szCs w:val="28"/>
              </w:rPr>
              <w:t>90</w:t>
            </w:r>
          </w:p>
        </w:tc>
      </w:tr>
      <w:tr w:rsidR="002D2484" w:rsidRPr="00C8397D" w:rsidTr="00BA5963">
        <w:trPr>
          <w:trHeight w:hRule="exact" w:val="274"/>
        </w:trPr>
        <w:tc>
          <w:tcPr>
            <w:tcW w:w="2773" w:type="dxa"/>
            <w:vMerge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«</w:t>
            </w:r>
            <w:r w:rsidRPr="00C8397D">
              <w:rPr>
                <w:rFonts w:ascii="Times New Roman" w:hAnsi="Times New Roman"/>
                <w:noProof/>
                <w:color w:val="000000"/>
                <w:spacing w:val="1"/>
                <w:sz w:val="28"/>
                <w:szCs w:val="28"/>
              </w:rPr>
              <w:t>Турист</w:t>
            </w:r>
            <w:r w:rsidRPr="00C8397D">
              <w:rPr>
                <w:rFonts w:ascii="Times New Roman" w:hAnsi="Times New Roman"/>
                <w:noProof/>
                <w:color w:val="000000"/>
                <w:position w:val="3"/>
                <w:sz w:val="28"/>
                <w:szCs w:val="28"/>
              </w:rPr>
              <w:t>»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378</w:t>
            </w:r>
          </w:p>
        </w:tc>
      </w:tr>
      <w:tr w:rsidR="002D2484" w:rsidRPr="00C8397D" w:rsidTr="00BA5963">
        <w:trPr>
          <w:trHeight w:hRule="exact" w:val="276"/>
        </w:trPr>
        <w:tc>
          <w:tcPr>
            <w:tcW w:w="2773" w:type="dxa"/>
            <w:vMerge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74" w:type="dxa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Ramada Encore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322</w:t>
            </w:r>
          </w:p>
        </w:tc>
      </w:tr>
      <w:tr w:rsidR="002D2484" w:rsidRPr="00C8397D" w:rsidTr="00BA5963">
        <w:trPr>
          <w:trHeight w:hRule="exact" w:val="281"/>
        </w:trPr>
        <w:tc>
          <w:tcPr>
            <w:tcW w:w="7147" w:type="dxa"/>
            <w:gridSpan w:val="2"/>
          </w:tcPr>
          <w:p w:rsidR="002D2484" w:rsidRPr="00C8397D" w:rsidRDefault="002D2484" w:rsidP="00BA596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pacing w:val="11"/>
                <w:sz w:val="28"/>
                <w:szCs w:val="28"/>
              </w:rPr>
              <w:t>Всього</w:t>
            </w:r>
          </w:p>
        </w:tc>
        <w:tc>
          <w:tcPr>
            <w:tcW w:w="2681" w:type="dxa"/>
          </w:tcPr>
          <w:p w:rsidR="002D2484" w:rsidRPr="00C8397D" w:rsidRDefault="002D2484" w:rsidP="00BA596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w w:val="94"/>
                <w:sz w:val="28"/>
                <w:szCs w:val="28"/>
              </w:rPr>
              <w:t>6</w:t>
            </w:r>
            <w:r w:rsidRPr="00C8397D">
              <w:rPr>
                <w:rFonts w:ascii="Times New Roman" w:hAnsi="Times New Roman"/>
                <w:noProof/>
                <w:color w:val="000000"/>
                <w:spacing w:val="9"/>
                <w:sz w:val="28"/>
                <w:szCs w:val="28"/>
              </w:rPr>
              <w:t> </w:t>
            </w:r>
            <w:r w:rsidRPr="00C8397D">
              <w:rPr>
                <w:rFonts w:ascii="Times New Roman" w:hAnsi="Times New Roman"/>
                <w:noProof/>
                <w:color w:val="000000"/>
                <w:w w:val="94"/>
                <w:sz w:val="28"/>
                <w:szCs w:val="28"/>
              </w:rPr>
              <w:t>444</w:t>
            </w:r>
          </w:p>
        </w:tc>
      </w:tr>
    </w:tbl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На початок 2011 року загальна кількість номерів у готелях, розташованих у Києві, знизилась на 2,6% з року на рік, як результат реконструкції деяких готелів. Упродовж останніх 10 років кількість готелів та інших видів короткострокового проживання в Києві збільшилася на 48%, з 90 готелів у 2001 році до 133 готелів у 2011 році, що відображає збільшення на 1 992 номери, або 20% від загальної кількості номерів у місті.</w:t>
      </w:r>
    </w:p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Збільшення розвитку ринку готельної нерухомості був найбільш інтенсивним починаючи з 2005 року.</w:t>
      </w:r>
    </w:p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5246D5A6" wp14:editId="027F2F3B">
            <wp:extent cx="5048885" cy="282130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3" t="30688" r="63292" b="36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highlight w:val="yellow"/>
          <w:lang w:val="uk-UA"/>
        </w:rPr>
        <w:t>Рисунок 4.3.2.5</w:t>
      </w:r>
      <w:r w:rsidRPr="00C8397D">
        <w:rPr>
          <w:rFonts w:ascii="Times New Roman" w:hAnsi="Times New Roman"/>
          <w:sz w:val="28"/>
          <w:szCs w:val="28"/>
          <w:lang w:val="uk-UA"/>
        </w:rPr>
        <w:t xml:space="preserve"> - Структура готельної пропозиції у місті Київ, липень 2012 року</w:t>
      </w:r>
    </w:p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У Києві є тільки два міжнародно-оперованих готеля, які позиціонуються в економ сегменті: Ibis оперований компанією Accor Group, та Ramada Encore представлений компанією Wyndham Hotel Group International.</w:t>
      </w:r>
    </w:p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 xml:space="preserve">Готель Ibis був єдиним міжнародним готелем відкритим у 2011 році, в той час як Fairmont Grand Hotel Kyiv, Holiday Inn та Ramada Encore були </w:t>
      </w:r>
      <w:r w:rsidRPr="00C8397D">
        <w:rPr>
          <w:rFonts w:ascii="Times New Roman" w:hAnsi="Times New Roman"/>
          <w:sz w:val="28"/>
          <w:szCs w:val="28"/>
          <w:lang w:val="uk-UA"/>
        </w:rPr>
        <w:lastRenderedPageBreak/>
        <w:t>відкриті впродовж першої половини 2012 року. Протягом 2010 року в Києві не було відкрито жодного міжнародного мережевого готеля, в той час як у 2009 році був відкритий готель Intercontinental.</w:t>
      </w:r>
    </w:p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8397D">
        <w:rPr>
          <w:rFonts w:ascii="Times New Roman" w:hAnsi="Times New Roman"/>
          <w:i/>
          <w:sz w:val="28"/>
          <w:szCs w:val="28"/>
          <w:lang w:val="uk-UA"/>
        </w:rPr>
        <w:t>Основні показники ефективності готельної нерухомості у місті Київ</w:t>
      </w:r>
    </w:p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Для аналізу основних показників ефективності роботи готелів у Києві були проаналізовані дані з наступних готелів:</w:t>
      </w:r>
    </w:p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•</w:t>
      </w:r>
      <w:r w:rsidRPr="00C8397D">
        <w:rPr>
          <w:rFonts w:ascii="Times New Roman" w:hAnsi="Times New Roman"/>
          <w:sz w:val="28"/>
          <w:szCs w:val="28"/>
          <w:lang w:val="uk-UA"/>
        </w:rPr>
        <w:tab/>
        <w:t>Hyatt Regency</w:t>
      </w:r>
    </w:p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•</w:t>
      </w:r>
      <w:r w:rsidRPr="00C8397D">
        <w:rPr>
          <w:rFonts w:ascii="Times New Roman" w:hAnsi="Times New Roman"/>
          <w:sz w:val="28"/>
          <w:szCs w:val="28"/>
          <w:lang w:val="uk-UA"/>
        </w:rPr>
        <w:tab/>
        <w:t>InterContinental</w:t>
      </w:r>
    </w:p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•</w:t>
      </w:r>
      <w:r w:rsidRPr="00C8397D">
        <w:rPr>
          <w:rFonts w:ascii="Times New Roman" w:hAnsi="Times New Roman"/>
          <w:sz w:val="28"/>
          <w:szCs w:val="28"/>
          <w:lang w:val="uk-UA"/>
        </w:rPr>
        <w:tab/>
        <w:t>«Опера»</w:t>
      </w:r>
    </w:p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•</w:t>
      </w:r>
      <w:r w:rsidRPr="00C8397D">
        <w:rPr>
          <w:rFonts w:ascii="Times New Roman" w:hAnsi="Times New Roman"/>
          <w:sz w:val="28"/>
          <w:szCs w:val="28"/>
          <w:lang w:val="uk-UA"/>
        </w:rPr>
        <w:tab/>
        <w:t>«Прем’єр Палац»</w:t>
      </w:r>
    </w:p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•</w:t>
      </w:r>
      <w:r w:rsidRPr="00C8397D">
        <w:rPr>
          <w:rFonts w:ascii="Times New Roman" w:hAnsi="Times New Roman"/>
          <w:sz w:val="28"/>
          <w:szCs w:val="28"/>
          <w:lang w:val="uk-UA"/>
        </w:rPr>
        <w:tab/>
        <w:t>Radisson Blu</w:t>
      </w:r>
    </w:p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64438974" wp14:editId="0DFD08A1">
            <wp:extent cx="4231640" cy="21786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9" t="44243" r="65216" b="29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highlight w:val="yellow"/>
          <w:lang w:val="uk-UA"/>
        </w:rPr>
        <w:t>Рисунок 4.3.</w:t>
      </w:r>
      <w:r w:rsidRPr="00C8397D">
        <w:rPr>
          <w:rFonts w:ascii="Times New Roman" w:hAnsi="Times New Roman"/>
          <w:sz w:val="28"/>
          <w:szCs w:val="28"/>
          <w:lang w:val="uk-UA"/>
        </w:rPr>
        <w:t>2.6 - Основні зведені показники ефективності готелів у місті Київ, 2008 – 2011 рік</w:t>
      </w:r>
    </w:p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 xml:space="preserve">Аналіз історичного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івня завантаженості готелів у Києві визначив значне зниження з 62,7% у 2008 році до 45,9% у 2009 році. У 2010 році середній рівень завантаженості готелів показав невеликій зріст до 53.5%.</w:t>
      </w:r>
    </w:p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 xml:space="preserve">Середній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івень завантаженості готелів у Києві у 2011 році становив 60,4%.</w:t>
      </w:r>
    </w:p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F40B8AB" wp14:editId="30F94A18">
            <wp:extent cx="3550285" cy="2150110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1" t="26537" r="61455" b="44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highlight w:val="yellow"/>
          <w:lang w:val="ru-RU"/>
        </w:rPr>
        <w:t>Рисунок 4.3.2</w:t>
      </w:r>
      <w:r w:rsidRPr="00C8397D">
        <w:rPr>
          <w:rFonts w:ascii="Times New Roman" w:hAnsi="Times New Roman"/>
          <w:sz w:val="28"/>
          <w:szCs w:val="28"/>
          <w:lang w:val="ru-RU"/>
        </w:rPr>
        <w:t>.7 - Історичні данні щодо завантаженості готелів у мі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ст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 Київ, 2008 - січень-квітень 2012 року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4"/>
        <w:gridCol w:w="1903"/>
        <w:gridCol w:w="1895"/>
        <w:gridCol w:w="1895"/>
        <w:gridCol w:w="1894"/>
      </w:tblGrid>
      <w:tr w:rsidR="002D2484" w:rsidRPr="00C8397D" w:rsidTr="00BA5963">
        <w:tc>
          <w:tcPr>
            <w:tcW w:w="1970" w:type="dxa"/>
          </w:tcPr>
          <w:p w:rsidR="002D2484" w:rsidRPr="00C8397D" w:rsidRDefault="002D2484" w:rsidP="00BA5963">
            <w:pPr>
              <w:tabs>
                <w:tab w:val="left" w:pos="99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Середньорічна</w:t>
            </w:r>
          </w:p>
        </w:tc>
        <w:tc>
          <w:tcPr>
            <w:tcW w:w="1971" w:type="dxa"/>
          </w:tcPr>
          <w:p w:rsidR="002D2484" w:rsidRPr="00C8397D" w:rsidRDefault="002D2484" w:rsidP="00BA5963">
            <w:pPr>
              <w:tabs>
                <w:tab w:val="left" w:pos="99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2008*</w:t>
            </w:r>
          </w:p>
        </w:tc>
        <w:tc>
          <w:tcPr>
            <w:tcW w:w="1971" w:type="dxa"/>
          </w:tcPr>
          <w:p w:rsidR="002D2484" w:rsidRPr="00C8397D" w:rsidRDefault="002D2484" w:rsidP="00BA5963">
            <w:pPr>
              <w:tabs>
                <w:tab w:val="left" w:pos="99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2009</w:t>
            </w:r>
          </w:p>
        </w:tc>
        <w:tc>
          <w:tcPr>
            <w:tcW w:w="1971" w:type="dxa"/>
          </w:tcPr>
          <w:p w:rsidR="002D2484" w:rsidRPr="00C8397D" w:rsidRDefault="002D2484" w:rsidP="00BA5963">
            <w:pPr>
              <w:tabs>
                <w:tab w:val="left" w:pos="99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2010</w:t>
            </w:r>
          </w:p>
        </w:tc>
        <w:tc>
          <w:tcPr>
            <w:tcW w:w="1971" w:type="dxa"/>
          </w:tcPr>
          <w:p w:rsidR="002D2484" w:rsidRPr="00C8397D" w:rsidRDefault="002D2484" w:rsidP="00BA5963">
            <w:pPr>
              <w:tabs>
                <w:tab w:val="left" w:pos="99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2011</w:t>
            </w:r>
          </w:p>
        </w:tc>
      </w:tr>
      <w:tr w:rsidR="002D2484" w:rsidRPr="00C8397D" w:rsidTr="00BA5963">
        <w:tc>
          <w:tcPr>
            <w:tcW w:w="1970" w:type="dxa"/>
          </w:tcPr>
          <w:p w:rsidR="002D2484" w:rsidRPr="00C8397D" w:rsidRDefault="002D2484" w:rsidP="00BA5963">
            <w:pPr>
              <w:tabs>
                <w:tab w:val="left" w:pos="99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%</w:t>
            </w:r>
          </w:p>
        </w:tc>
        <w:tc>
          <w:tcPr>
            <w:tcW w:w="1971" w:type="dxa"/>
          </w:tcPr>
          <w:p w:rsidR="002D2484" w:rsidRPr="00C8397D" w:rsidRDefault="002D2484" w:rsidP="00BA5963">
            <w:pPr>
              <w:tabs>
                <w:tab w:val="left" w:pos="99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62,7</w:t>
            </w:r>
          </w:p>
        </w:tc>
        <w:tc>
          <w:tcPr>
            <w:tcW w:w="1971" w:type="dxa"/>
          </w:tcPr>
          <w:p w:rsidR="002D2484" w:rsidRPr="00C8397D" w:rsidRDefault="002D2484" w:rsidP="00BA5963">
            <w:pPr>
              <w:tabs>
                <w:tab w:val="left" w:pos="99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45,9</w:t>
            </w:r>
          </w:p>
        </w:tc>
        <w:tc>
          <w:tcPr>
            <w:tcW w:w="1971" w:type="dxa"/>
          </w:tcPr>
          <w:p w:rsidR="002D2484" w:rsidRPr="00C8397D" w:rsidRDefault="002D2484" w:rsidP="00BA5963">
            <w:pPr>
              <w:tabs>
                <w:tab w:val="left" w:pos="99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53,5</w:t>
            </w:r>
          </w:p>
        </w:tc>
        <w:tc>
          <w:tcPr>
            <w:tcW w:w="1971" w:type="dxa"/>
          </w:tcPr>
          <w:p w:rsidR="002D2484" w:rsidRPr="00C8397D" w:rsidRDefault="002D2484" w:rsidP="00BA5963">
            <w:pPr>
              <w:tabs>
                <w:tab w:val="left" w:pos="99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60,4</w:t>
            </w:r>
          </w:p>
        </w:tc>
      </w:tr>
    </w:tbl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>* = квітень-грудень</w:t>
      </w:r>
    </w:p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669C499E" wp14:editId="14C11681">
            <wp:extent cx="3774440" cy="2286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4" t="41122" r="59457" b="27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highlight w:val="yellow"/>
          <w:lang w:val="ru-RU"/>
        </w:rPr>
        <w:t>Рисунок 4.</w:t>
      </w:r>
      <w:r w:rsidRPr="00C8397D">
        <w:rPr>
          <w:rFonts w:ascii="Times New Roman" w:hAnsi="Times New Roman"/>
          <w:sz w:val="28"/>
          <w:szCs w:val="28"/>
          <w:lang w:val="ru-RU"/>
        </w:rPr>
        <w:t xml:space="preserve">3.2.8 - Порівняння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івнів завантаженості у місті Київ у 2010 та 2011 роках</w:t>
      </w:r>
    </w:p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 xml:space="preserve">Починаючи з 2008 року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 xml:space="preserve">івень ADR у готелях стабілізувався на рівні 2 048,51 грн. (EUR 206.32). У 2010 році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 xml:space="preserve">івень ADR знизився до 1 968,00 грн. (Euro 198.21). До кінця 2011 року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івень ADR перевищив рівень 2008 року, та був зареєстрований на рівні 2 136,96 грн. (EUR 215.23).</w:t>
      </w:r>
    </w:p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E89201D" wp14:editId="7DA1DCC9">
            <wp:extent cx="3657600" cy="21399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1" t="36841" r="62201" b="35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84" w:rsidRPr="00C8397D" w:rsidRDefault="002D2484" w:rsidP="002D2484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highlight w:val="yellow"/>
          <w:lang w:val="ru-RU"/>
        </w:rPr>
        <w:t>Рисунок 4.3.2</w:t>
      </w:r>
      <w:r w:rsidRPr="00C8397D">
        <w:rPr>
          <w:rFonts w:ascii="Times New Roman" w:hAnsi="Times New Roman"/>
          <w:sz w:val="28"/>
          <w:szCs w:val="28"/>
          <w:lang w:val="ru-RU"/>
        </w:rPr>
        <w:t>.9 - Історичні дані з ADR у мі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ст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 Київ, 2008 – Q1 2012 роки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4"/>
        <w:gridCol w:w="1896"/>
        <w:gridCol w:w="1897"/>
        <w:gridCol w:w="1897"/>
        <w:gridCol w:w="1897"/>
      </w:tblGrid>
      <w:tr w:rsidR="002D2484" w:rsidRPr="00C8397D" w:rsidTr="00BA5963">
        <w:tc>
          <w:tcPr>
            <w:tcW w:w="1914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Середньорічна</w:t>
            </w:r>
          </w:p>
        </w:tc>
        <w:tc>
          <w:tcPr>
            <w:tcW w:w="1914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>2008*</w:t>
            </w:r>
          </w:p>
        </w:tc>
        <w:tc>
          <w:tcPr>
            <w:tcW w:w="1914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>2009</w:t>
            </w:r>
          </w:p>
        </w:tc>
        <w:tc>
          <w:tcPr>
            <w:tcW w:w="1914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  <w:tc>
          <w:tcPr>
            <w:tcW w:w="1915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</w:tr>
      <w:tr w:rsidR="002D2484" w:rsidRPr="00C8397D" w:rsidTr="00BA5963">
        <w:tc>
          <w:tcPr>
            <w:tcW w:w="1914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>UAN</w:t>
            </w:r>
          </w:p>
        </w:tc>
        <w:tc>
          <w:tcPr>
            <w:tcW w:w="1914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>2048</w:t>
            </w: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,51</w:t>
            </w:r>
          </w:p>
        </w:tc>
        <w:tc>
          <w:tcPr>
            <w:tcW w:w="1914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2267,07</w:t>
            </w:r>
          </w:p>
        </w:tc>
        <w:tc>
          <w:tcPr>
            <w:tcW w:w="1914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1968,00</w:t>
            </w:r>
          </w:p>
        </w:tc>
        <w:tc>
          <w:tcPr>
            <w:tcW w:w="1915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2136,96</w:t>
            </w:r>
          </w:p>
        </w:tc>
      </w:tr>
      <w:tr w:rsidR="002D2484" w:rsidRPr="00C8397D" w:rsidTr="00BA5963">
        <w:tc>
          <w:tcPr>
            <w:tcW w:w="1914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>EUR</w:t>
            </w:r>
          </w:p>
        </w:tc>
        <w:tc>
          <w:tcPr>
            <w:tcW w:w="1914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206,32</w:t>
            </w:r>
          </w:p>
        </w:tc>
        <w:tc>
          <w:tcPr>
            <w:tcW w:w="1914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228,33</w:t>
            </w:r>
          </w:p>
        </w:tc>
        <w:tc>
          <w:tcPr>
            <w:tcW w:w="1914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198,21</w:t>
            </w:r>
          </w:p>
        </w:tc>
        <w:tc>
          <w:tcPr>
            <w:tcW w:w="1915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215,23</w:t>
            </w:r>
          </w:p>
        </w:tc>
      </w:tr>
    </w:tbl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>*=квітень-грудень</w:t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D2484" w:rsidRPr="00C8397D" w:rsidRDefault="002D2484" w:rsidP="002D248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45A00C92" wp14:editId="280F1921">
            <wp:extent cx="4474845" cy="2383155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7" t="37737" r="59486" b="34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84" w:rsidRPr="00C8397D" w:rsidRDefault="002D2484" w:rsidP="002D248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highlight w:val="yellow"/>
          <w:lang w:val="ru-RU"/>
        </w:rPr>
        <w:t>Рисунок 4.3.2</w:t>
      </w:r>
      <w:r w:rsidRPr="00C8397D">
        <w:rPr>
          <w:rFonts w:ascii="Times New Roman" w:hAnsi="Times New Roman"/>
          <w:sz w:val="28"/>
          <w:szCs w:val="28"/>
          <w:lang w:val="ru-RU"/>
        </w:rPr>
        <w:t xml:space="preserve">.10 - Порівняння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івнів ADR у місті Київ, 2010-2011</w:t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 xml:space="preserve">Як функція завантаженості та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 xml:space="preserve">івня </w:t>
      </w:r>
      <w:r w:rsidRPr="00C8397D">
        <w:rPr>
          <w:rFonts w:ascii="Times New Roman" w:hAnsi="Times New Roman"/>
          <w:sz w:val="28"/>
          <w:szCs w:val="28"/>
        </w:rPr>
        <w:t>ADR</w:t>
      </w:r>
      <w:r w:rsidRPr="00C8397D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8397D">
        <w:rPr>
          <w:rFonts w:ascii="Times New Roman" w:hAnsi="Times New Roman"/>
          <w:sz w:val="28"/>
          <w:szCs w:val="28"/>
        </w:rPr>
        <w:t>RevPAR</w:t>
      </w:r>
      <w:r w:rsidRPr="00C8397D">
        <w:rPr>
          <w:rFonts w:ascii="Times New Roman" w:hAnsi="Times New Roman"/>
          <w:sz w:val="28"/>
          <w:szCs w:val="28"/>
          <w:lang w:val="ru-RU"/>
        </w:rPr>
        <w:t xml:space="preserve"> відображає вплив фінансової кризи 2009 року, та показує недавнє відновлення ринку, що відбулося у 2011 році до рівню спостережуваного у 2008 році. У 2008 році RevPAR становив 1 288,35 грн. (EUR 129,76), однак у 2009 році цей показник знизився до 1 037,75 грн. (EUR 104,52) з подальшим відновленням понад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lastRenderedPageBreak/>
        <w:t>р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івня спостережуваного у 2008 році, до відмітки у 1 328,53 грн. (EUR 133.80).</w:t>
      </w:r>
    </w:p>
    <w:p w:rsidR="002D2484" w:rsidRPr="00C8397D" w:rsidRDefault="002D2484" w:rsidP="002D248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6643C387" wp14:editId="50B10941">
            <wp:extent cx="3550285" cy="221805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4" t="27545" r="61255" b="42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highlight w:val="yellow"/>
          <w:lang w:val="ru-RU"/>
        </w:rPr>
        <w:t>Рисунок 4.3.2.11</w:t>
      </w:r>
      <w:r w:rsidRPr="00C8397D">
        <w:rPr>
          <w:rFonts w:ascii="Times New Roman" w:hAnsi="Times New Roman"/>
          <w:sz w:val="28"/>
          <w:szCs w:val="28"/>
          <w:lang w:val="ru-RU"/>
        </w:rPr>
        <w:t xml:space="preserve"> - Історичні дані з RevPAR у мі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ст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 Київ, 2008 – Q1 2012 роки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1764"/>
        <w:gridCol w:w="1763"/>
        <w:gridCol w:w="1763"/>
        <w:gridCol w:w="1763"/>
      </w:tblGrid>
      <w:tr w:rsidR="002D2484" w:rsidRPr="00C8397D" w:rsidTr="00BA5963">
        <w:tc>
          <w:tcPr>
            <w:tcW w:w="2567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Середньорічна</w:t>
            </w:r>
          </w:p>
        </w:tc>
        <w:tc>
          <w:tcPr>
            <w:tcW w:w="1818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pacing w:val="-3"/>
                <w:sz w:val="28"/>
                <w:szCs w:val="28"/>
              </w:rPr>
              <w:t>2008*</w:t>
            </w:r>
          </w:p>
        </w:tc>
        <w:tc>
          <w:tcPr>
            <w:tcW w:w="1818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pacing w:val="-3"/>
                <w:sz w:val="28"/>
                <w:szCs w:val="28"/>
              </w:rPr>
              <w:t>2009</w:t>
            </w:r>
          </w:p>
        </w:tc>
        <w:tc>
          <w:tcPr>
            <w:tcW w:w="1818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pacing w:val="-3"/>
                <w:sz w:val="28"/>
                <w:szCs w:val="28"/>
              </w:rPr>
              <w:t>2010</w:t>
            </w:r>
          </w:p>
        </w:tc>
        <w:tc>
          <w:tcPr>
            <w:tcW w:w="1818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pacing w:val="-3"/>
                <w:sz w:val="28"/>
                <w:szCs w:val="28"/>
              </w:rPr>
              <w:t>2011</w:t>
            </w:r>
          </w:p>
        </w:tc>
      </w:tr>
      <w:tr w:rsidR="002D2484" w:rsidRPr="00C8397D" w:rsidTr="00BA5963">
        <w:tc>
          <w:tcPr>
            <w:tcW w:w="2567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pacing w:val="-2"/>
                <w:w w:val="94"/>
                <w:sz w:val="28"/>
                <w:szCs w:val="28"/>
              </w:rPr>
              <w:t>UAH</w:t>
            </w:r>
          </w:p>
        </w:tc>
        <w:tc>
          <w:tcPr>
            <w:tcW w:w="1818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1 </w:t>
            </w:r>
            <w:r w:rsidRPr="00C8397D">
              <w:rPr>
                <w:rFonts w:ascii="Times New Roman" w:hAnsi="Times New Roman"/>
                <w:noProof/>
                <w:color w:val="000000"/>
                <w:spacing w:val="-3"/>
                <w:sz w:val="28"/>
                <w:szCs w:val="28"/>
              </w:rPr>
              <w:t>288,35</w:t>
            </w:r>
          </w:p>
        </w:tc>
        <w:tc>
          <w:tcPr>
            <w:tcW w:w="1818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1 </w:t>
            </w:r>
            <w:r w:rsidRPr="00C8397D">
              <w:rPr>
                <w:rFonts w:ascii="Times New Roman" w:hAnsi="Times New Roman"/>
                <w:noProof/>
                <w:color w:val="000000"/>
                <w:spacing w:val="-3"/>
                <w:sz w:val="28"/>
                <w:szCs w:val="28"/>
              </w:rPr>
              <w:t>037,75</w:t>
            </w:r>
          </w:p>
        </w:tc>
        <w:tc>
          <w:tcPr>
            <w:tcW w:w="1818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1 </w:t>
            </w:r>
            <w:r w:rsidRPr="00C8397D">
              <w:rPr>
                <w:rFonts w:ascii="Times New Roman" w:hAnsi="Times New Roman"/>
                <w:noProof/>
                <w:color w:val="000000"/>
                <w:spacing w:val="-3"/>
                <w:sz w:val="28"/>
                <w:szCs w:val="28"/>
              </w:rPr>
              <w:t>051,07</w:t>
            </w:r>
          </w:p>
        </w:tc>
        <w:tc>
          <w:tcPr>
            <w:tcW w:w="1818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1 </w:t>
            </w:r>
            <w:r w:rsidRPr="00C8397D">
              <w:rPr>
                <w:rFonts w:ascii="Times New Roman" w:hAnsi="Times New Roman"/>
                <w:noProof/>
                <w:color w:val="000000"/>
                <w:spacing w:val="-3"/>
                <w:sz w:val="28"/>
                <w:szCs w:val="28"/>
              </w:rPr>
              <w:t>328,53</w:t>
            </w:r>
          </w:p>
        </w:tc>
      </w:tr>
      <w:tr w:rsidR="002D2484" w:rsidRPr="00C8397D" w:rsidTr="00BA5963">
        <w:tc>
          <w:tcPr>
            <w:tcW w:w="2567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pacing w:val="-2"/>
                <w:w w:val="94"/>
                <w:sz w:val="28"/>
                <w:szCs w:val="28"/>
              </w:rPr>
              <w:t>EUR</w:t>
            </w:r>
          </w:p>
        </w:tc>
        <w:tc>
          <w:tcPr>
            <w:tcW w:w="1818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pacing w:val="-3"/>
                <w:sz w:val="28"/>
                <w:szCs w:val="28"/>
              </w:rPr>
              <w:t>129,76</w:t>
            </w:r>
          </w:p>
        </w:tc>
        <w:tc>
          <w:tcPr>
            <w:tcW w:w="1818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pacing w:val="-3"/>
                <w:sz w:val="28"/>
                <w:szCs w:val="28"/>
              </w:rPr>
              <w:t>104,52</w:t>
            </w:r>
          </w:p>
        </w:tc>
        <w:tc>
          <w:tcPr>
            <w:tcW w:w="1818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pacing w:val="-3"/>
                <w:sz w:val="28"/>
                <w:szCs w:val="28"/>
              </w:rPr>
              <w:t>105,86</w:t>
            </w:r>
          </w:p>
        </w:tc>
        <w:tc>
          <w:tcPr>
            <w:tcW w:w="1818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noProof/>
                <w:color w:val="000000"/>
                <w:spacing w:val="-3"/>
                <w:sz w:val="28"/>
                <w:szCs w:val="28"/>
              </w:rPr>
              <w:t>133,80</w:t>
            </w:r>
          </w:p>
        </w:tc>
      </w:tr>
    </w:tbl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>*=квітень-грудень</w:t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C8397D">
        <w:rPr>
          <w:rFonts w:ascii="Times New Roman" w:hAnsi="Times New Roman"/>
          <w:i/>
          <w:sz w:val="28"/>
          <w:szCs w:val="28"/>
          <w:lang w:val="ru-RU"/>
        </w:rPr>
        <w:t xml:space="preserve">Майбутня пропозиція </w:t>
      </w:r>
      <w:proofErr w:type="gramStart"/>
      <w:r w:rsidRPr="00C8397D">
        <w:rPr>
          <w:rFonts w:ascii="Times New Roman" w:hAnsi="Times New Roman"/>
          <w:i/>
          <w:sz w:val="28"/>
          <w:szCs w:val="28"/>
          <w:lang w:val="ru-RU"/>
        </w:rPr>
        <w:t>на</w:t>
      </w:r>
      <w:proofErr w:type="gramEnd"/>
      <w:r w:rsidRPr="00C8397D">
        <w:rPr>
          <w:rFonts w:ascii="Times New Roman" w:hAnsi="Times New Roman"/>
          <w:i/>
          <w:sz w:val="28"/>
          <w:szCs w:val="28"/>
          <w:lang w:val="ru-RU"/>
        </w:rPr>
        <w:t xml:space="preserve"> ринку готельної нерухомості</w:t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 xml:space="preserve">На додаток до восьми готельних мереж, які вже присутні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на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 xml:space="preserve"> ринку (Hyatt, Carlson Rezidor, Intercontinental, Wyndham, Rixos, Best Western, Accor та Starwood), кілька міжнародних готельних операторів планують/розвивають свої проекти у Києві, а саме Hilton, Carlson Rezidor, Accor, Intercontinental, Wyndham, Marriott та Starwood.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Проекти готелів, що планується до відкритя у коротко та середньостроковій перспективі включають наступні: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 xml:space="preserve"> Sheraton Kyiv Olympiysky, Hilton Kyiv, Holiday Inn, Marriott, Radisson Blu та кілька локальних, немережевих готелі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У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 xml:space="preserve"> таблиці нижче наведений перелік готелів, що реалізуються.</w:t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highlight w:val="yellow"/>
          <w:lang w:val="ru-RU"/>
        </w:rPr>
        <w:t>Таблиця 4.3.2.</w:t>
      </w:r>
      <w:r w:rsidRPr="00C8397D">
        <w:rPr>
          <w:rFonts w:ascii="Times New Roman" w:hAnsi="Times New Roman"/>
          <w:sz w:val="28"/>
          <w:szCs w:val="28"/>
          <w:lang w:val="ru-RU"/>
        </w:rPr>
        <w:t xml:space="preserve">5 - Майбутня пропозиція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на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 xml:space="preserve"> ринку готельної нерухомості, липень 2012 року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8"/>
        <w:gridCol w:w="2436"/>
        <w:gridCol w:w="1390"/>
        <w:gridCol w:w="1879"/>
        <w:gridCol w:w="2188"/>
      </w:tblGrid>
      <w:tr w:rsidR="002D2484" w:rsidRPr="00C8397D" w:rsidTr="00BA5963">
        <w:tc>
          <w:tcPr>
            <w:tcW w:w="1548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Назва проекту</w:t>
            </w:r>
          </w:p>
        </w:tc>
        <w:tc>
          <w:tcPr>
            <w:tcW w:w="2437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Позиціонування</w:t>
            </w:r>
          </w:p>
        </w:tc>
        <w:tc>
          <w:tcPr>
            <w:tcW w:w="0" w:type="auto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Кількість номері</w:t>
            </w:r>
            <w:proofErr w:type="gramStart"/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proofErr w:type="gramEnd"/>
          </w:p>
        </w:tc>
        <w:tc>
          <w:tcPr>
            <w:tcW w:w="0" w:type="auto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Орієнтована дата завершення </w:t>
            </w: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будівництва</w:t>
            </w:r>
          </w:p>
        </w:tc>
        <w:tc>
          <w:tcPr>
            <w:tcW w:w="0" w:type="auto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Поточний статус</w:t>
            </w:r>
          </w:p>
        </w:tc>
      </w:tr>
      <w:tr w:rsidR="002D2484" w:rsidRPr="00C8397D" w:rsidTr="00BA5963">
        <w:tc>
          <w:tcPr>
            <w:tcW w:w="1548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Hilton Kyiv </w:t>
            </w:r>
          </w:p>
        </w:tc>
        <w:tc>
          <w:tcPr>
            <w:tcW w:w="2437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Прем</w:t>
            </w:r>
            <w:proofErr w:type="gramEnd"/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іум класс</w:t>
            </w:r>
          </w:p>
        </w:tc>
        <w:tc>
          <w:tcPr>
            <w:tcW w:w="0" w:type="auto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257</w:t>
            </w:r>
          </w:p>
        </w:tc>
        <w:tc>
          <w:tcPr>
            <w:tcW w:w="0" w:type="auto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2012</w:t>
            </w:r>
          </w:p>
        </w:tc>
        <w:tc>
          <w:tcPr>
            <w:tcW w:w="0" w:type="auto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Техн</w:t>
            </w:r>
            <w:proofErr w:type="gramEnd"/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ічне відкриття відкладено на осінь 2012 року</w:t>
            </w:r>
          </w:p>
        </w:tc>
      </w:tr>
      <w:tr w:rsidR="002D2484" w:rsidRPr="00C8397D" w:rsidTr="00BA5963">
        <w:tc>
          <w:tcPr>
            <w:tcW w:w="1548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>Sheraton Kyiv Olympiysky</w:t>
            </w:r>
          </w:p>
        </w:tc>
        <w:tc>
          <w:tcPr>
            <w:tcW w:w="2437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Готелі вищої середньої цінової категорії</w:t>
            </w:r>
          </w:p>
        </w:tc>
        <w:tc>
          <w:tcPr>
            <w:tcW w:w="0" w:type="auto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172</w:t>
            </w:r>
          </w:p>
        </w:tc>
        <w:tc>
          <w:tcPr>
            <w:tcW w:w="0" w:type="auto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2012</w:t>
            </w:r>
          </w:p>
        </w:tc>
        <w:tc>
          <w:tcPr>
            <w:tcW w:w="0" w:type="auto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Техн</w:t>
            </w:r>
            <w:proofErr w:type="gramEnd"/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ічне відкриття відкладено на кінець 2012 / початок 2013 року</w:t>
            </w:r>
          </w:p>
        </w:tc>
      </w:tr>
      <w:tr w:rsidR="002D2484" w:rsidRPr="00C8397D" w:rsidTr="00BA5963">
        <w:tc>
          <w:tcPr>
            <w:tcW w:w="1548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>Swissotel</w:t>
            </w:r>
          </w:p>
        </w:tc>
        <w:tc>
          <w:tcPr>
            <w:tcW w:w="2437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Готелі вищої середньої цінової категорії</w:t>
            </w:r>
          </w:p>
        </w:tc>
        <w:tc>
          <w:tcPr>
            <w:tcW w:w="0" w:type="auto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276</w:t>
            </w:r>
          </w:p>
        </w:tc>
        <w:tc>
          <w:tcPr>
            <w:tcW w:w="0" w:type="auto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2014-2015</w:t>
            </w:r>
          </w:p>
        </w:tc>
        <w:tc>
          <w:tcPr>
            <w:tcW w:w="0" w:type="auto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Реконцепція проекту</w:t>
            </w:r>
          </w:p>
        </w:tc>
      </w:tr>
      <w:tr w:rsidR="002D2484" w:rsidRPr="00C8397D" w:rsidTr="00BA5963">
        <w:tc>
          <w:tcPr>
            <w:tcW w:w="1548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>Leipzig Marriott Renaissance</w:t>
            </w:r>
          </w:p>
        </w:tc>
        <w:tc>
          <w:tcPr>
            <w:tcW w:w="2437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Готелі вищої середньої цінової категорії</w:t>
            </w:r>
          </w:p>
        </w:tc>
        <w:tc>
          <w:tcPr>
            <w:tcW w:w="0" w:type="auto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173</w:t>
            </w:r>
          </w:p>
        </w:tc>
        <w:tc>
          <w:tcPr>
            <w:tcW w:w="0" w:type="auto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2012</w:t>
            </w:r>
          </w:p>
        </w:tc>
        <w:tc>
          <w:tcPr>
            <w:tcW w:w="0" w:type="auto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Техн</w:t>
            </w:r>
            <w:proofErr w:type="gramEnd"/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ічне відкриття відкладено на кінець 2012 / початок 2013 року</w:t>
            </w:r>
          </w:p>
        </w:tc>
      </w:tr>
      <w:tr w:rsidR="002D2484" w:rsidRPr="00C8397D" w:rsidTr="00BA5963">
        <w:tc>
          <w:tcPr>
            <w:tcW w:w="1548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>Radisson Blu</w:t>
            </w:r>
          </w:p>
        </w:tc>
        <w:tc>
          <w:tcPr>
            <w:tcW w:w="2437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Готелі вищої середньої цінової категорії</w:t>
            </w:r>
          </w:p>
        </w:tc>
        <w:tc>
          <w:tcPr>
            <w:tcW w:w="0" w:type="auto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163</w:t>
            </w:r>
          </w:p>
        </w:tc>
        <w:tc>
          <w:tcPr>
            <w:tcW w:w="0" w:type="auto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Кінець 2012</w:t>
            </w:r>
          </w:p>
        </w:tc>
        <w:tc>
          <w:tcPr>
            <w:tcW w:w="0" w:type="auto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Ведеться будівництво</w:t>
            </w:r>
          </w:p>
        </w:tc>
      </w:tr>
      <w:tr w:rsidR="002D2484" w:rsidRPr="00C8397D" w:rsidTr="00BA5963">
        <w:tc>
          <w:tcPr>
            <w:tcW w:w="1548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>City Hotel</w:t>
            </w:r>
          </w:p>
        </w:tc>
        <w:tc>
          <w:tcPr>
            <w:tcW w:w="2437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Готелі вищої середньої цінової категорії</w:t>
            </w:r>
          </w:p>
        </w:tc>
        <w:tc>
          <w:tcPr>
            <w:tcW w:w="0" w:type="auto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87</w:t>
            </w:r>
          </w:p>
        </w:tc>
        <w:tc>
          <w:tcPr>
            <w:tcW w:w="0" w:type="auto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2012</w:t>
            </w:r>
          </w:p>
        </w:tc>
        <w:tc>
          <w:tcPr>
            <w:tcW w:w="0" w:type="auto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Техн</w:t>
            </w:r>
            <w:proofErr w:type="gramEnd"/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ічне відкриття відкладено на кінець 2012 / початок 2013 року</w:t>
            </w:r>
          </w:p>
        </w:tc>
      </w:tr>
      <w:tr w:rsidR="002D2484" w:rsidRPr="00C8397D" w:rsidTr="00BA5963">
        <w:tc>
          <w:tcPr>
            <w:tcW w:w="1548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lastRenderedPageBreak/>
              <w:t>ComfortLine</w:t>
            </w:r>
          </w:p>
        </w:tc>
        <w:tc>
          <w:tcPr>
            <w:tcW w:w="2437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Економ готелі</w:t>
            </w:r>
          </w:p>
        </w:tc>
        <w:tc>
          <w:tcPr>
            <w:tcW w:w="0" w:type="auto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150</w:t>
            </w:r>
          </w:p>
        </w:tc>
        <w:tc>
          <w:tcPr>
            <w:tcW w:w="0" w:type="auto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Кінець 2014</w:t>
            </w:r>
          </w:p>
        </w:tc>
        <w:tc>
          <w:tcPr>
            <w:tcW w:w="0" w:type="auto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proofErr w:type="gramEnd"/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ідготовка земельної ділянки</w:t>
            </w:r>
          </w:p>
        </w:tc>
      </w:tr>
      <w:tr w:rsidR="002D2484" w:rsidRPr="00C8397D" w:rsidTr="00BA5963">
        <w:tc>
          <w:tcPr>
            <w:tcW w:w="1548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>Park Inn</w:t>
            </w:r>
          </w:p>
        </w:tc>
        <w:tc>
          <w:tcPr>
            <w:tcW w:w="2437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Економі готелі</w:t>
            </w:r>
          </w:p>
        </w:tc>
        <w:tc>
          <w:tcPr>
            <w:tcW w:w="0" w:type="auto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190</w:t>
            </w:r>
          </w:p>
        </w:tc>
        <w:tc>
          <w:tcPr>
            <w:tcW w:w="0" w:type="auto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н/а</w:t>
            </w:r>
          </w:p>
        </w:tc>
        <w:tc>
          <w:tcPr>
            <w:tcW w:w="0" w:type="auto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Ведуться роботи по реконструкції готелю</w:t>
            </w:r>
          </w:p>
        </w:tc>
      </w:tr>
      <w:tr w:rsidR="002D2484" w:rsidRPr="00C8397D" w:rsidTr="00BA5963">
        <w:tc>
          <w:tcPr>
            <w:tcW w:w="0" w:type="auto"/>
            <w:gridSpan w:val="2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Всього</w:t>
            </w:r>
          </w:p>
        </w:tc>
        <w:tc>
          <w:tcPr>
            <w:tcW w:w="0" w:type="auto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1468</w:t>
            </w:r>
          </w:p>
        </w:tc>
        <w:tc>
          <w:tcPr>
            <w:tcW w:w="0" w:type="auto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2D2484" w:rsidRPr="00C8397D" w:rsidRDefault="002D2484" w:rsidP="002D248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32BCDC14" wp14:editId="1253C076">
            <wp:extent cx="4785995" cy="221805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0" t="37700" r="59486" b="34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highlight w:val="yellow"/>
          <w:lang w:val="uk-UA"/>
        </w:rPr>
        <w:t>Рисунок</w:t>
      </w:r>
      <w:r w:rsidRPr="00C8397D">
        <w:rPr>
          <w:rFonts w:ascii="Times New Roman" w:hAnsi="Times New Roman"/>
          <w:sz w:val="28"/>
          <w:szCs w:val="28"/>
          <w:highlight w:val="yellow"/>
          <w:lang w:val="ru-RU"/>
        </w:rPr>
        <w:t xml:space="preserve"> 4.3.2.12</w:t>
      </w:r>
      <w:r w:rsidRPr="00C8397D">
        <w:rPr>
          <w:rFonts w:ascii="Times New Roman" w:hAnsi="Times New Roman"/>
          <w:sz w:val="28"/>
          <w:szCs w:val="28"/>
          <w:lang w:val="ru-RU"/>
        </w:rPr>
        <w:t xml:space="preserve"> - Структура майбутньої пропозиції готельного сектору у місті Київ, липень 2012 року</w:t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>Частка майбутньої пропозиції по відношенню до існуючої, якісної пропозиції в розмі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 xml:space="preserve">і 6 444 номерів становить 22,8%. Таким чином, ринок готельної нерухомості буде залежати від стабільного зросту пропозиції для того щоб задовольнити попит. Оцінка попиту, викладена нижче,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св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ідчить про те що, майбутня пропозиція, заявлена до реалізації у місті Київ на час аналізу, відображає лише 49,4 - 53,5% від загальної потреби у якісних готельних номерах до 2022 року.</w:t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C8397D">
        <w:rPr>
          <w:rFonts w:ascii="Times New Roman" w:hAnsi="Times New Roman"/>
          <w:b/>
          <w:i/>
          <w:sz w:val="28"/>
          <w:szCs w:val="28"/>
          <w:lang w:val="ru-RU"/>
        </w:rPr>
        <w:t>Інтерв’ю з операторами готельної нерухомості</w:t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>Проведено інтерв’ю з трьома міжнародними операторами, присутніми на ринку готельної нерухомості у мі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ст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 Київ для оцінки їх бачення перспектив ринку. Резюме відповідей наведено нижче.</w:t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C8397D">
        <w:rPr>
          <w:rFonts w:ascii="Times New Roman" w:hAnsi="Times New Roman"/>
          <w:i/>
          <w:sz w:val="28"/>
          <w:szCs w:val="28"/>
          <w:lang w:val="ru-RU"/>
        </w:rPr>
        <w:t>Готельний оператор №1</w:t>
      </w:r>
    </w:p>
    <w:p w:rsidR="002D2484" w:rsidRPr="00C8397D" w:rsidRDefault="002D2484" w:rsidP="002D2484">
      <w:pPr>
        <w:numPr>
          <w:ilvl w:val="1"/>
          <w:numId w:val="2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lastRenderedPageBreak/>
        <w:t>Впродовж 2-3 рокі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 xml:space="preserve"> і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сну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є ризик перенасичення готелями преміум та вище середньої цінової категорій.</w:t>
      </w:r>
    </w:p>
    <w:p w:rsidR="002D2484" w:rsidRPr="00C8397D" w:rsidRDefault="002D2484" w:rsidP="002D2484">
      <w:pPr>
        <w:numPr>
          <w:ilvl w:val="1"/>
          <w:numId w:val="2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Ц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ілком ймовірно, що впродовж наступних 5 років ринок готельної нерухомості переорієнтується на розвиток готелів середньої та економ цінових категорій.</w:t>
      </w:r>
    </w:p>
    <w:p w:rsidR="002D2484" w:rsidRPr="00C8397D" w:rsidRDefault="002D2484" w:rsidP="002D2484">
      <w:pPr>
        <w:numPr>
          <w:ilvl w:val="1"/>
          <w:numId w:val="2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 xml:space="preserve">Очікується зниження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івня ADR, головним чином як результат впровадження більш низького рівня ADR у розмірі EUR 100, у таких конкуруючих місцях як Варшава, Санкт-Петербург та Москва.</w:t>
      </w:r>
    </w:p>
    <w:p w:rsidR="002D2484" w:rsidRPr="00C8397D" w:rsidRDefault="002D2484" w:rsidP="002D2484">
      <w:pPr>
        <w:numPr>
          <w:ilvl w:val="1"/>
          <w:numId w:val="2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 xml:space="preserve">Для розкішних та висококласних готелів використовується внутрішнє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техн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 xml:space="preserve">іко-економічне обґрунтування в розмірі мінімум ADR EUR 150, та зростає до EUR 175 впродовж 5 річного стабілізаційного періоду. Початкова завантаженість готелю закладається на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івні 50% з цільовим стабілізаційним рівнем в розмірі 65%. Валовий прибуток від основної діяльності (GOP) готелів розраховується в розмірі 45% для розкішних та висококласних готелів, в той час як для готелів нижчої цінової категорії цей показник може становити 50+%.</w:t>
      </w:r>
    </w:p>
    <w:p w:rsidR="002D2484" w:rsidRPr="00C8397D" w:rsidRDefault="002D2484" w:rsidP="002D2484">
      <w:pPr>
        <w:numPr>
          <w:ilvl w:val="1"/>
          <w:numId w:val="2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>Міжнародний мережевий готель економ класу потенційно може оперувати закладаючи валовий прибуток від основної діяльності (GOP) в розмі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 75%, однак тому є мало підтверджень.</w:t>
      </w:r>
    </w:p>
    <w:p w:rsidR="002D2484" w:rsidRPr="00C8397D" w:rsidRDefault="002D2484" w:rsidP="002D2484">
      <w:pPr>
        <w:numPr>
          <w:ilvl w:val="1"/>
          <w:numId w:val="2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Ц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ільовий ринок для міжнародних мережевих готелів становить бізнес сегмент (95%) та сегмент відпочинку та розваг (5%)</w:t>
      </w:r>
    </w:p>
    <w:p w:rsidR="002D2484" w:rsidRPr="00C8397D" w:rsidRDefault="002D2484" w:rsidP="002D2484">
      <w:pPr>
        <w:numPr>
          <w:ilvl w:val="1"/>
          <w:numId w:val="2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 xml:space="preserve">Найбільші доходи міжнародний мережевий готель отримує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 xml:space="preserve"> період з понеділка по п’ятницю.</w:t>
      </w:r>
    </w:p>
    <w:p w:rsidR="002D2484" w:rsidRPr="00C8397D" w:rsidRDefault="002D2484" w:rsidP="002D2484">
      <w:pPr>
        <w:numPr>
          <w:ilvl w:val="1"/>
          <w:numId w:val="2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>Ринок відпочинку та розваг належить локально оперованим готелям.</w:t>
      </w:r>
    </w:p>
    <w:p w:rsidR="002D2484" w:rsidRPr="00C8397D" w:rsidRDefault="002D2484" w:rsidP="002D2484">
      <w:pPr>
        <w:numPr>
          <w:ilvl w:val="1"/>
          <w:numId w:val="2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 xml:space="preserve">Зростання бізнес індустрії є необхідним для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ідтримки попиту за для подальшого розвитку готельної пропозиції.</w:t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C8397D">
        <w:rPr>
          <w:rFonts w:ascii="Times New Roman" w:hAnsi="Times New Roman"/>
          <w:i/>
          <w:sz w:val="28"/>
          <w:szCs w:val="28"/>
          <w:lang w:val="ru-RU"/>
        </w:rPr>
        <w:t>Готельний оператор № 2</w:t>
      </w:r>
    </w:p>
    <w:p w:rsidR="002D2484" w:rsidRPr="00C8397D" w:rsidRDefault="002D2484" w:rsidP="002D2484">
      <w:pPr>
        <w:numPr>
          <w:ilvl w:val="1"/>
          <w:numId w:val="3"/>
        </w:numPr>
        <w:tabs>
          <w:tab w:val="left" w:pos="1080"/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>На даний час мережевий готель оперує з 10-15% преміумом від середніх зареєстрованих показникі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 xml:space="preserve"> по ринку.</w:t>
      </w:r>
    </w:p>
    <w:p w:rsidR="002D2484" w:rsidRPr="00C8397D" w:rsidRDefault="002D2484" w:rsidP="002D2484">
      <w:pPr>
        <w:numPr>
          <w:ilvl w:val="1"/>
          <w:numId w:val="3"/>
        </w:numPr>
        <w:tabs>
          <w:tab w:val="left" w:pos="1080"/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lastRenderedPageBreak/>
        <w:t xml:space="preserve">Скептичний прогноз щодо готелів преміум класу, враховуючи майбутню пропозицію, та нещодавньої стабілізації завантаженості готелів до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івню 2008, при меншій кількості номерів на той час.</w:t>
      </w:r>
    </w:p>
    <w:p w:rsidR="002D2484" w:rsidRPr="00C8397D" w:rsidRDefault="002D2484" w:rsidP="002D2484">
      <w:pPr>
        <w:numPr>
          <w:ilvl w:val="1"/>
          <w:numId w:val="3"/>
        </w:numPr>
        <w:tabs>
          <w:tab w:val="left" w:pos="1080"/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 xml:space="preserve">Обмежена пропозиція якісних номерів сприяла утриманню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івня ADR.</w:t>
      </w:r>
    </w:p>
    <w:p w:rsidR="002D2484" w:rsidRPr="00C8397D" w:rsidRDefault="002D2484" w:rsidP="002D2484">
      <w:pPr>
        <w:numPr>
          <w:ilvl w:val="1"/>
          <w:numId w:val="3"/>
        </w:numPr>
        <w:tabs>
          <w:tab w:val="left" w:pos="1080"/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 xml:space="preserve">Ринок готелів у нецентральних комерційних районах має бути лімітований до невеликих готелів, які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ідходять під економ сегмент.</w:t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C8397D">
        <w:rPr>
          <w:rFonts w:ascii="Times New Roman" w:hAnsi="Times New Roman"/>
          <w:i/>
          <w:sz w:val="28"/>
          <w:szCs w:val="28"/>
          <w:lang w:val="ru-RU"/>
        </w:rPr>
        <w:t>Готельний оператор №3</w:t>
      </w:r>
    </w:p>
    <w:p w:rsidR="002D2484" w:rsidRPr="00C8397D" w:rsidRDefault="002D2484" w:rsidP="002D2484">
      <w:pPr>
        <w:numPr>
          <w:ilvl w:val="1"/>
          <w:numId w:val="4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 xml:space="preserve">Мережа оперована готельним оператором №3, спромоглась досягти 59% та 65% завантаженості у 2010 та 2011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роках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 xml:space="preserve"> відповідно.</w:t>
      </w:r>
    </w:p>
    <w:p w:rsidR="002D2484" w:rsidRPr="00C8397D" w:rsidRDefault="002D2484" w:rsidP="002D2484">
      <w:pPr>
        <w:numPr>
          <w:ilvl w:val="1"/>
          <w:numId w:val="4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 xml:space="preserve">У 2011 році, ADR цієї мережі був зареєстрований на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івни EUR150</w:t>
      </w:r>
    </w:p>
    <w:p w:rsidR="002D2484" w:rsidRPr="00C8397D" w:rsidRDefault="002D2484" w:rsidP="002D2484">
      <w:pPr>
        <w:numPr>
          <w:ilvl w:val="1"/>
          <w:numId w:val="4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 xml:space="preserve">ADR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для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 xml:space="preserve"> преміально-розташованих готелів у Києві становить EUR 200, в той час як ADR для готелів середньої цінової категорії знаходиться на відмітці EUR100. У такому децентралізованому комерційному районі як «Київ Сіті» відповідний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івень ADR має становити приблизно EUR140</w:t>
      </w:r>
    </w:p>
    <w:p w:rsidR="002D2484" w:rsidRPr="00C8397D" w:rsidRDefault="002D2484" w:rsidP="002D2484">
      <w:pPr>
        <w:numPr>
          <w:ilvl w:val="1"/>
          <w:numId w:val="4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>Ринковий GOP для готелі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в прем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іум класу становить приблизно 50%, однак мережа оперована готельним оператором №3, була спроможна досягти 70% GOP впродовж 2010 та 2011 року. У 2012 році мережа очікує GOP у розмі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 60%.</w:t>
      </w:r>
    </w:p>
    <w:p w:rsidR="002D2484" w:rsidRPr="00C8397D" w:rsidRDefault="002D2484" w:rsidP="002D2484">
      <w:pPr>
        <w:numPr>
          <w:ilvl w:val="1"/>
          <w:numId w:val="4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>Для нового готеля стабілізаційний період становить 3-4 роки.</w:t>
      </w:r>
    </w:p>
    <w:p w:rsidR="002D2484" w:rsidRPr="00C8397D" w:rsidRDefault="002D2484" w:rsidP="002D2484">
      <w:pPr>
        <w:numPr>
          <w:ilvl w:val="1"/>
          <w:numId w:val="4"/>
        </w:numPr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 xml:space="preserve">У коротко, середньостроковій перспективі,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м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іжнародні готельні оператори переорієнтувались на розвиток готелів економ та середньої цінової категорій.</w:t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C8397D">
        <w:rPr>
          <w:rFonts w:ascii="Times New Roman" w:hAnsi="Times New Roman"/>
          <w:i/>
          <w:sz w:val="28"/>
          <w:szCs w:val="28"/>
          <w:lang w:val="ru-RU"/>
        </w:rPr>
        <w:t xml:space="preserve">Прогноз попиту </w:t>
      </w:r>
      <w:proofErr w:type="gramStart"/>
      <w:r w:rsidRPr="00C8397D">
        <w:rPr>
          <w:rFonts w:ascii="Times New Roman" w:hAnsi="Times New Roman"/>
          <w:i/>
          <w:sz w:val="28"/>
          <w:szCs w:val="28"/>
          <w:lang w:val="ru-RU"/>
        </w:rPr>
        <w:t>на</w:t>
      </w:r>
      <w:proofErr w:type="gramEnd"/>
      <w:r w:rsidRPr="00C8397D">
        <w:rPr>
          <w:rFonts w:ascii="Times New Roman" w:hAnsi="Times New Roman"/>
          <w:i/>
          <w:sz w:val="28"/>
          <w:szCs w:val="28"/>
          <w:lang w:val="ru-RU"/>
        </w:rPr>
        <w:t xml:space="preserve"> ринку готельної нерухомості</w:t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>Прогнозування попиту на міжнародні мережеві готелі у Києві, враховуючи загальну пропозицію в розмі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 9 807 номерів. Сценарії попиту основуються на припущені середньорічного зростання в розмірі 3.9% до 2022 року (WTTC, Прогноз зросту ринку Подорожей та Туризму в Україні). Середньо-ринкова завантаженість готелів була протестована базуючись на двох сценаріях: 60% та 65%.</w:t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lastRenderedPageBreak/>
        <w:t>Основуючись на цих прогнозах було зроблено прогноз щодо попиту на нову пропозицію готельних номері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 xml:space="preserve"> до 2022 року.</w:t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highlight w:val="yellow"/>
          <w:lang w:val="ru-RU"/>
        </w:rPr>
        <w:t>Таблиця 4.3</w:t>
      </w:r>
      <w:r w:rsidRPr="00C8397D">
        <w:rPr>
          <w:rFonts w:ascii="Times New Roman" w:hAnsi="Times New Roman"/>
          <w:sz w:val="28"/>
          <w:szCs w:val="28"/>
          <w:lang w:val="ru-RU"/>
        </w:rPr>
        <w:t>.2.7 - Прогноз попиту, 2012 – 2022 рокі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2D2484" w:rsidRPr="00C8397D" w:rsidTr="00BA5963">
        <w:tc>
          <w:tcPr>
            <w:tcW w:w="3190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Сценарії</w:t>
            </w:r>
          </w:p>
        </w:tc>
        <w:tc>
          <w:tcPr>
            <w:tcW w:w="3190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Перемінні дані</w:t>
            </w:r>
          </w:p>
        </w:tc>
        <w:tc>
          <w:tcPr>
            <w:tcW w:w="3191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Додатковий попит впродовж 2012-2022 рр.</w:t>
            </w:r>
          </w:p>
        </w:tc>
      </w:tr>
      <w:tr w:rsidR="002D2484" w:rsidRPr="00C8397D" w:rsidTr="00BA5963">
        <w:tc>
          <w:tcPr>
            <w:tcW w:w="3190" w:type="dxa"/>
            <w:vMerge w:val="restart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60% завантаженість</w:t>
            </w:r>
          </w:p>
        </w:tc>
        <w:tc>
          <w:tcPr>
            <w:tcW w:w="3190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Кількість додаткових ночей у готелях</w:t>
            </w:r>
          </w:p>
        </w:tc>
        <w:tc>
          <w:tcPr>
            <w:tcW w:w="3191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1000999</w:t>
            </w:r>
          </w:p>
        </w:tc>
      </w:tr>
      <w:tr w:rsidR="002D2484" w:rsidRPr="00C8397D" w:rsidTr="00BA5963">
        <w:tc>
          <w:tcPr>
            <w:tcW w:w="3190" w:type="dxa"/>
            <w:vMerge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190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Кількість додаткових номері</w:t>
            </w:r>
            <w:proofErr w:type="gramStart"/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proofErr w:type="gramEnd"/>
          </w:p>
        </w:tc>
        <w:tc>
          <w:tcPr>
            <w:tcW w:w="3191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2742</w:t>
            </w:r>
          </w:p>
        </w:tc>
      </w:tr>
      <w:tr w:rsidR="002D2484" w:rsidRPr="00C8397D" w:rsidTr="00BA5963">
        <w:tc>
          <w:tcPr>
            <w:tcW w:w="3190" w:type="dxa"/>
            <w:vMerge w:val="restart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60% завантаженість</w:t>
            </w:r>
          </w:p>
        </w:tc>
        <w:tc>
          <w:tcPr>
            <w:tcW w:w="3190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Кількість додаткових ночей у готелях</w:t>
            </w:r>
          </w:p>
        </w:tc>
        <w:tc>
          <w:tcPr>
            <w:tcW w:w="3191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1084416</w:t>
            </w:r>
          </w:p>
        </w:tc>
      </w:tr>
      <w:tr w:rsidR="002D2484" w:rsidRPr="00C8397D" w:rsidTr="00BA5963">
        <w:tc>
          <w:tcPr>
            <w:tcW w:w="3190" w:type="dxa"/>
            <w:vMerge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190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Кількість додаткових номері</w:t>
            </w:r>
            <w:proofErr w:type="gramStart"/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proofErr w:type="gramEnd"/>
          </w:p>
        </w:tc>
        <w:tc>
          <w:tcPr>
            <w:tcW w:w="3191" w:type="dxa"/>
          </w:tcPr>
          <w:p w:rsidR="002D2484" w:rsidRPr="00C8397D" w:rsidRDefault="002D2484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ru-RU"/>
              </w:rPr>
              <w:t>2971</w:t>
            </w:r>
          </w:p>
        </w:tc>
      </w:tr>
    </w:tbl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 xml:space="preserve">Використовуючи найбільш консервативний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 xml:space="preserve">ідхід до визначення попиту , мінімум 2742 додаткових номерів будуть необхідні до 2020 року, що є еквівалентом приблизно 14 готелів (у середньому по 200 номерів кожний). Використовуючи найбільш оптимістичний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ідхід до прогнозування, потенційний попит може становити до 15 готелів (у середньому по 200 номерів кожний). Цей прогноз не враховує «ефект канібалізму» попиту для існуючих готелі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.</w:t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>ВИСНОВКИ</w:t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 xml:space="preserve">Ринок готельної нерухомості у Києві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 xml:space="preserve">ідновився до «до кризового» рівня завантаженості та показників ADR основуючись на даних основних показників ефективності за 2009 та 2010 рік. У 2011 році середньо-ринковий рівень ADR для міжнародних мережевих готелів становив 2 136,96 грн. (EUR 215.23), у той час як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івень завантаженості становив 60,4%.</w:t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 xml:space="preserve">Згідно Всесвітній Раді Подорожей та Туризму (WTTC), кількість відвідувачів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 xml:space="preserve"> Україні зросте з 20 мільйонів у 2012 році до 25,87 мільйонів відвідувачів у 2022 році. DTZ вважає, що даний показник відображає зростання кількості відвідувачів у Києві з 6 мільйонів туристів у 2012 році до </w:t>
      </w:r>
      <w:r w:rsidRPr="00C8397D">
        <w:rPr>
          <w:rFonts w:ascii="Times New Roman" w:hAnsi="Times New Roman"/>
          <w:sz w:val="28"/>
          <w:szCs w:val="28"/>
          <w:lang w:val="ru-RU"/>
        </w:rPr>
        <w:lastRenderedPageBreak/>
        <w:t>7,8 мільйоні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 xml:space="preserve"> туристів у 2022 році.</w:t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 xml:space="preserve">Визначино загальний обсяг пропозиції на ринку готельної нерухомості у розмірі 9 800 номерів, 6 444 з яких можуть бути розглянуті як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як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існі готельні номери. Аналіз майбутньої пропозиції на ринку готельної нерухомості виявив додаткові 1 305 номерів заявлені до реалізації, які відображають 20,3% від загальної кількості якісних номерів. Аналіз попиту на ринку готельної нерухомості виявив, що майбутня пропозиція, заявлена до реалізації у мі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ст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 xml:space="preserve">і Києві на час аналізу, відображає лише 47,6% від загальної потреби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у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 xml:space="preserve"> якісних готельних номерах до 2022 року.</w:t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Ринок готельної нерухомості може буде розділений на дві категорії: міжнародні мережеві готелі преміум класу/готелі вищої середньої цінової категорії, та самостійно-оперовані локальні готелі. Міжнародний бізнес сегмент є майже єдиним користувачем мережевих готелів. Сегмент відпочинку та розваг повністю представлений локальними, не мережевими операторами.</w:t>
      </w:r>
      <w:proofErr w:type="gramEnd"/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 xml:space="preserve">Інтерв’ю з міжнародними мережевими готельними операторами виявили очікування останніх щодо зниження рівня ADR у коротко та середньостроковий період в сегменті готелів преміум класу, та готелів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 xml:space="preserve">іщої середньої цінової категорії максимум на 25%. Основними передумовами зниження показників ефективності у секторі є значний об’єм майбутньої пропозиції у сегменті та підвищення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 xml:space="preserve">івня конкурентоспроможності інших міст, в той час як Київ продовжуватиме розвиватися як регіональний центр з торгівлі та розваг. Ринок міжнародних мережевих готелів оперуючи у середньому та економ цінових категоріях продовжує бути структурно ненасиченим, в той час як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як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існий об’єкт з правильним розташуванням, у цьому ціновому сегменті, може вийти на 70% рівень завантаженості.</w:t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C8397D">
        <w:rPr>
          <w:rFonts w:ascii="Times New Roman" w:hAnsi="Times New Roman"/>
          <w:i/>
          <w:sz w:val="28"/>
          <w:szCs w:val="28"/>
          <w:lang w:val="ru-RU"/>
        </w:rPr>
        <w:t>Основні визначення</w:t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 xml:space="preserve">Прямий внесок до ВВП – ВВП генерований секторами індустрії, які безпосередньо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пов’язан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 xml:space="preserve">і з туризмом, включаючи готелі, туристичні агентства, ресторани, авіалінії та іншій послуги з пасажироперевезень. Цей показник </w:t>
      </w:r>
      <w:r w:rsidRPr="00C8397D">
        <w:rPr>
          <w:rFonts w:ascii="Times New Roman" w:hAnsi="Times New Roman"/>
          <w:sz w:val="28"/>
          <w:szCs w:val="28"/>
          <w:lang w:val="ru-RU"/>
        </w:rPr>
        <w:lastRenderedPageBreak/>
        <w:t xml:space="preserve">дорівнюється до суми загальних внутрішніх витрат пов’язаних з туристичною діяльністю в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країн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і, за вирахуванням надходжень пов’язаних з імпортом.</w:t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 xml:space="preserve">Прямий внесок до працевлаштування – Кількість працівників найманих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 xml:space="preserve"> сфері туризму.</w:t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>Загальний внесок до ВВП – ВВП генерований секторами індустрії, які напряму пов’язані з туризмом, включаючи його непрямі та індуковані складові. (див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н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ижче).</w:t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>Загальний внесок до працевлаштування – Кількість працівників найманих в сфері туризму включаючи непрямі та індуковані складові. (див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н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ижче).</w:t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 xml:space="preserve">Витрати іноземних відвідувачів - Витрати іноземних відвідувачів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ід час бізнес та туристичних подорожей, включаючи витрати на транспорт.</w:t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 xml:space="preserve">Витрати національних туристів – витрати громадян України в межах країни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ід час бізнес та туристичних подорожей, за винятком товарів тривалого користування, оскілки останні не купуються тільки для цілей туризму.</w:t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 xml:space="preserve">Витрати на відпочинок та туризм – витрати на відпочинок та туризм в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країн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 як іноземними так і національними туристами.</w:t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Непрямі та індуковані складові – внесок до ВВП та показника працевлаштування за трьома факторами:</w:t>
      </w:r>
      <w:proofErr w:type="gramEnd"/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>•</w:t>
      </w:r>
      <w:r w:rsidRPr="00C8397D">
        <w:rPr>
          <w:rFonts w:ascii="Times New Roman" w:hAnsi="Times New Roman"/>
          <w:sz w:val="28"/>
          <w:szCs w:val="28"/>
          <w:lang w:val="ru-RU"/>
        </w:rPr>
        <w:tab/>
        <w:t>Капітальні інвестиції – капітальні інвестиції всіх секторів напряму пов’язаних з туристичною діяльністю, включно з інвестиціями інших галузей на суто туристичні активи: транспорт, ресторани та розважальні заклади, готельні послуги.</w:t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>•</w:t>
      </w:r>
      <w:r w:rsidRPr="00C8397D">
        <w:rPr>
          <w:rFonts w:ascii="Times New Roman" w:hAnsi="Times New Roman"/>
          <w:sz w:val="28"/>
          <w:szCs w:val="28"/>
          <w:lang w:val="ru-RU"/>
        </w:rPr>
        <w:tab/>
        <w:t xml:space="preserve">Кумулятивні урядові витрати – загальні урядові витрати на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 xml:space="preserve">ідтримку туристичного сектору. Цей фактор може включати витрати національних, регіональних та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м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ісцевих органів влади. Наприклад витрати на сприяння туризму, туристичні інформаційні послуги та інше.</w:t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>•</w:t>
      </w:r>
      <w:r w:rsidRPr="00C8397D">
        <w:rPr>
          <w:rFonts w:ascii="Times New Roman" w:hAnsi="Times New Roman"/>
          <w:sz w:val="28"/>
          <w:szCs w:val="28"/>
          <w:lang w:val="ru-RU"/>
        </w:rPr>
        <w:tab/>
        <w:t xml:space="preserve">Ефект ланцюгових поставок – закупівля вітчизняних товарів та </w:t>
      </w:r>
      <w:r w:rsidRPr="00C8397D">
        <w:rPr>
          <w:rFonts w:ascii="Times New Roman" w:hAnsi="Times New Roman"/>
          <w:sz w:val="28"/>
          <w:szCs w:val="28"/>
          <w:lang w:val="ru-RU"/>
        </w:rPr>
        <w:lastRenderedPageBreak/>
        <w:t xml:space="preserve">послуг безпосередньо </w:t>
      </w:r>
      <w:proofErr w:type="gramStart"/>
      <w:r w:rsidRPr="00C8397D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C8397D">
        <w:rPr>
          <w:rFonts w:ascii="Times New Roman" w:hAnsi="Times New Roman"/>
          <w:sz w:val="28"/>
          <w:szCs w:val="28"/>
          <w:lang w:val="ru-RU"/>
        </w:rPr>
        <w:t>ізними секторами туристичної галузі в якості внеску в їх кінцевий продукт.</w:t>
      </w:r>
    </w:p>
    <w:p w:rsidR="002D2484" w:rsidRPr="00C8397D" w:rsidRDefault="002D2484" w:rsidP="002D24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8397D">
        <w:rPr>
          <w:rFonts w:ascii="Times New Roman" w:hAnsi="Times New Roman"/>
          <w:sz w:val="28"/>
          <w:szCs w:val="28"/>
          <w:lang w:val="ru-RU"/>
        </w:rPr>
        <w:t>Індукований внесок – обширний внесок до ВВП та працевлаштування за рахунок витрат робітників безпосередньо та побічно працевлаштованих у сфері туризму.</w:t>
      </w:r>
    </w:p>
    <w:p w:rsidR="00791E58" w:rsidRDefault="00791E58"/>
    <w:sectPr w:rsidR="00791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F01A1"/>
    <w:multiLevelType w:val="hybridMultilevel"/>
    <w:tmpl w:val="4656A5CA"/>
    <w:lvl w:ilvl="0" w:tplc="6A269464">
      <w:start w:val="1"/>
      <w:numFmt w:val="bullet"/>
      <w:lvlText w:val="‐"/>
      <w:lvlJc w:val="left"/>
      <w:pPr>
        <w:tabs>
          <w:tab w:val="num" w:pos="2149"/>
        </w:tabs>
        <w:ind w:left="2149" w:hanging="360"/>
      </w:pPr>
      <w:rPr>
        <w:rFonts w:ascii="SimHei" w:eastAsia="SimHei" w:hAnsi="SimHei" w:hint="eastAsia"/>
      </w:rPr>
    </w:lvl>
    <w:lvl w:ilvl="1" w:tplc="6A269464">
      <w:start w:val="1"/>
      <w:numFmt w:val="bullet"/>
      <w:lvlText w:val="‐"/>
      <w:lvlJc w:val="left"/>
      <w:pPr>
        <w:tabs>
          <w:tab w:val="num" w:pos="2149"/>
        </w:tabs>
        <w:ind w:left="2149" w:hanging="360"/>
      </w:pPr>
      <w:rPr>
        <w:rFonts w:ascii="SimHei" w:eastAsia="SimHei" w:hAnsi="SimHei" w:hint="eastAsia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677703DB"/>
    <w:multiLevelType w:val="hybridMultilevel"/>
    <w:tmpl w:val="3AA2E88A"/>
    <w:lvl w:ilvl="0" w:tplc="6A269464">
      <w:start w:val="1"/>
      <w:numFmt w:val="bullet"/>
      <w:lvlText w:val="‐"/>
      <w:lvlJc w:val="left"/>
      <w:pPr>
        <w:tabs>
          <w:tab w:val="num" w:pos="2149"/>
        </w:tabs>
        <w:ind w:left="2149" w:hanging="360"/>
      </w:pPr>
      <w:rPr>
        <w:rFonts w:ascii="SimHei" w:eastAsia="SimHei" w:hAnsi="SimHei" w:hint="eastAsia"/>
      </w:rPr>
    </w:lvl>
    <w:lvl w:ilvl="1" w:tplc="6A269464">
      <w:start w:val="1"/>
      <w:numFmt w:val="bullet"/>
      <w:lvlText w:val="‐"/>
      <w:lvlJc w:val="left"/>
      <w:pPr>
        <w:tabs>
          <w:tab w:val="num" w:pos="2149"/>
        </w:tabs>
        <w:ind w:left="2149" w:hanging="360"/>
      </w:pPr>
      <w:rPr>
        <w:rFonts w:ascii="SimHei" w:eastAsia="SimHei" w:hAnsi="SimHei" w:hint="eastAsia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6BEF7D27"/>
    <w:multiLevelType w:val="hybridMultilevel"/>
    <w:tmpl w:val="474C809C"/>
    <w:lvl w:ilvl="0" w:tplc="6A269464">
      <w:start w:val="1"/>
      <w:numFmt w:val="bullet"/>
      <w:lvlText w:val="‐"/>
      <w:lvlJc w:val="left"/>
      <w:pPr>
        <w:tabs>
          <w:tab w:val="num" w:pos="2149"/>
        </w:tabs>
        <w:ind w:left="2149" w:hanging="360"/>
      </w:pPr>
      <w:rPr>
        <w:rFonts w:ascii="SimHei" w:eastAsia="SimHei" w:hAnsi="SimHei" w:hint="eastAsia"/>
      </w:rPr>
    </w:lvl>
    <w:lvl w:ilvl="1" w:tplc="6A269464">
      <w:start w:val="1"/>
      <w:numFmt w:val="bullet"/>
      <w:lvlText w:val="‐"/>
      <w:lvlJc w:val="left"/>
      <w:pPr>
        <w:tabs>
          <w:tab w:val="num" w:pos="2149"/>
        </w:tabs>
        <w:ind w:left="2149" w:hanging="360"/>
      </w:pPr>
      <w:rPr>
        <w:rFonts w:ascii="SimHei" w:eastAsia="SimHei" w:hAnsi="SimHei" w:hint="eastAsia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71146D9E"/>
    <w:multiLevelType w:val="hybridMultilevel"/>
    <w:tmpl w:val="3A0E967E"/>
    <w:lvl w:ilvl="0" w:tplc="6A269464">
      <w:start w:val="1"/>
      <w:numFmt w:val="bullet"/>
      <w:lvlText w:val="‐"/>
      <w:lvlJc w:val="left"/>
      <w:pPr>
        <w:tabs>
          <w:tab w:val="num" w:pos="2149"/>
        </w:tabs>
        <w:ind w:left="2149" w:hanging="360"/>
      </w:pPr>
      <w:rPr>
        <w:rFonts w:ascii="SimHei" w:eastAsia="SimHei" w:hAnsi="SimHei" w:hint="eastAsia"/>
      </w:rPr>
    </w:lvl>
    <w:lvl w:ilvl="1" w:tplc="6A269464">
      <w:start w:val="1"/>
      <w:numFmt w:val="bullet"/>
      <w:lvlText w:val="‐"/>
      <w:lvlJc w:val="left"/>
      <w:pPr>
        <w:tabs>
          <w:tab w:val="num" w:pos="2149"/>
        </w:tabs>
        <w:ind w:left="2149" w:hanging="360"/>
      </w:pPr>
      <w:rPr>
        <w:rFonts w:ascii="SimHei" w:eastAsia="SimHei" w:hAnsi="SimHei" w:hint="eastAsia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CA1"/>
    <w:rsid w:val="002D2484"/>
    <w:rsid w:val="00594CA1"/>
    <w:rsid w:val="00791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484"/>
    <w:pPr>
      <w:widowControl w:val="0"/>
    </w:pPr>
    <w:rPr>
      <w:rFonts w:ascii="Calibri" w:eastAsia="SimSun" w:hAnsi="Calibri" w:cs="Times New Roman"/>
      <w:kern w:val="2"/>
      <w:sz w:val="21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484"/>
    <w:rPr>
      <w:rFonts w:ascii="Tahoma" w:eastAsia="SimSun" w:hAnsi="Tahoma" w:cs="Tahoma"/>
      <w:kern w:val="2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484"/>
    <w:pPr>
      <w:widowControl w:val="0"/>
    </w:pPr>
    <w:rPr>
      <w:rFonts w:ascii="Calibri" w:eastAsia="SimSun" w:hAnsi="Calibri" w:cs="Times New Roman"/>
      <w:kern w:val="2"/>
      <w:sz w:val="21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484"/>
    <w:rPr>
      <w:rFonts w:ascii="Tahoma" w:eastAsia="SimSun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2846</Words>
  <Characters>16224</Characters>
  <Application>Microsoft Office Word</Application>
  <DocSecurity>0</DocSecurity>
  <Lines>135</Lines>
  <Paragraphs>38</Paragraphs>
  <ScaleCrop>false</ScaleCrop>
  <Company/>
  <LinksUpToDate>false</LinksUpToDate>
  <CharactersWithSpaces>19032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МАН-264</dc:creator>
  <cp:keywords/>
  <dc:description/>
  <cp:lastModifiedBy>МАН-264</cp:lastModifiedBy>
  <cp:revision>2</cp:revision>
  <dcterms:created xsi:type="dcterms:W3CDTF">2013-07-18T08:33:00Z</dcterms:created>
  <dcterms:modified xsi:type="dcterms:W3CDTF">2013-07-18T08:33:00Z</dcterms:modified>
</cp:coreProperties>
</file>