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D7" w:rsidRDefault="00912CD7" w:rsidP="00912CD7">
      <w:pPr>
        <w:spacing w:line="360" w:lineRule="auto"/>
        <w:ind w:firstLine="709"/>
        <w:jc w:val="both"/>
        <w:rPr>
          <w:b/>
          <w:sz w:val="26"/>
          <w:szCs w:val="26"/>
          <w:lang w:val="uk-UA"/>
        </w:rPr>
      </w:pPr>
      <w:bookmarkStart w:id="0" w:name="_GoBack"/>
      <w:r>
        <w:rPr>
          <w:b/>
          <w:sz w:val="26"/>
          <w:szCs w:val="26"/>
          <w:lang w:val="uk-UA"/>
        </w:rPr>
        <w:t>2.</w:t>
      </w:r>
      <w:r>
        <w:rPr>
          <w:b/>
          <w:sz w:val="26"/>
          <w:szCs w:val="26"/>
          <w:lang w:val="en-US"/>
        </w:rPr>
        <w:t>3</w:t>
      </w:r>
      <w:r>
        <w:rPr>
          <w:b/>
          <w:sz w:val="26"/>
          <w:szCs w:val="26"/>
          <w:lang w:val="uk-UA"/>
        </w:rPr>
        <w:t>. Аналіз перешкод реалізації проекту</w:t>
      </w:r>
    </w:p>
    <w:bookmarkEnd w:id="0"/>
    <w:p w:rsidR="00912CD7" w:rsidRDefault="00912CD7" w:rsidP="00912CD7">
      <w:pPr>
        <w:widowControl w:val="0"/>
        <w:spacing w:line="360" w:lineRule="auto"/>
        <w:jc w:val="center"/>
        <w:rPr>
          <w:b/>
          <w:sz w:val="26"/>
          <w:szCs w:val="26"/>
          <w:lang w:val="uk-UA"/>
        </w:rPr>
      </w:pPr>
    </w:p>
    <w:p w:rsidR="00912CD7" w:rsidRDefault="00912CD7" w:rsidP="00912CD7">
      <w:pPr>
        <w:widowControl w:val="0"/>
        <w:spacing w:line="360" w:lineRule="auto"/>
        <w:jc w:val="center"/>
        <w:rPr>
          <w:b/>
          <w:sz w:val="26"/>
          <w:szCs w:val="26"/>
          <w:lang w:val="uk-UA"/>
        </w:rPr>
      </w:pPr>
    </w:p>
    <w:p w:rsidR="00912CD7" w:rsidRDefault="00912CD7" w:rsidP="00912CD7">
      <w:pPr>
        <w:spacing w:line="360" w:lineRule="auto"/>
        <w:ind w:firstLine="709"/>
        <w:jc w:val="both"/>
        <w:rPr>
          <w:rFonts w:eastAsia="Arial"/>
          <w:sz w:val="26"/>
          <w:szCs w:val="26"/>
          <w:lang w:val="uk-UA"/>
        </w:rPr>
      </w:pPr>
      <w:r>
        <w:rPr>
          <w:rFonts w:eastAsia="Arial"/>
          <w:sz w:val="26"/>
          <w:szCs w:val="26"/>
          <w:lang w:val="uk-UA"/>
        </w:rPr>
        <w:t xml:space="preserve">Можливі труднощі щодо реалізації проекту </w:t>
      </w:r>
      <w:r>
        <w:rPr>
          <w:sz w:val="26"/>
          <w:szCs w:val="26"/>
          <w:lang w:val="uk-UA"/>
        </w:rPr>
        <w:t>«Східний Крим»</w:t>
      </w:r>
      <w:r>
        <w:rPr>
          <w:rFonts w:eastAsia="Arial"/>
          <w:sz w:val="26"/>
          <w:szCs w:val="26"/>
          <w:lang w:val="uk-UA"/>
        </w:rPr>
        <w:t>, як і його значущість, пов’язані масштабністю та містом розташування створюваного об’єкту. В комплексі реалізація проекту позначає створення територіального рекреаційно-туристичного утворення, що має соціальний характер і є складною керованою системою.</w:t>
      </w:r>
    </w:p>
    <w:p w:rsidR="00912CD7" w:rsidRDefault="00912CD7" w:rsidP="00912CD7">
      <w:pPr>
        <w:spacing w:line="360" w:lineRule="auto"/>
        <w:ind w:firstLine="709"/>
        <w:jc w:val="both"/>
        <w:rPr>
          <w:rFonts w:eastAsia="Arial"/>
          <w:sz w:val="26"/>
          <w:szCs w:val="26"/>
          <w:lang w:val="uk-UA"/>
        </w:rPr>
      </w:pPr>
    </w:p>
    <w:p w:rsidR="00912CD7" w:rsidRDefault="00912CD7" w:rsidP="00912CD7">
      <w:pPr>
        <w:spacing w:line="360" w:lineRule="auto"/>
        <w:jc w:val="center"/>
        <w:rPr>
          <w:rFonts w:eastAsia="Arial"/>
          <w:i/>
          <w:sz w:val="26"/>
          <w:szCs w:val="26"/>
          <w:lang w:val="uk-UA"/>
        </w:rPr>
      </w:pPr>
      <w:r>
        <w:rPr>
          <w:rFonts w:eastAsia="Arial"/>
          <w:i/>
          <w:sz w:val="26"/>
          <w:szCs w:val="26"/>
          <w:lang w:val="uk-UA"/>
        </w:rPr>
        <w:t>Можливі перешкоди: складність організації міжгалузевого співробітництва</w:t>
      </w:r>
    </w:p>
    <w:p w:rsidR="00912CD7" w:rsidRDefault="00912CD7" w:rsidP="00912CD7">
      <w:pPr>
        <w:spacing w:line="360" w:lineRule="auto"/>
        <w:ind w:firstLine="709"/>
        <w:jc w:val="both"/>
        <w:rPr>
          <w:rFonts w:eastAsia="Arial"/>
          <w:sz w:val="26"/>
          <w:szCs w:val="26"/>
          <w:lang w:val="uk-UA"/>
        </w:rPr>
      </w:pPr>
      <w:r>
        <w:rPr>
          <w:rFonts w:eastAsia="Arial"/>
          <w:sz w:val="26"/>
          <w:szCs w:val="26"/>
          <w:lang w:val="uk-UA"/>
        </w:rPr>
        <w:t xml:space="preserve">Попередній аналіз відповідності проекту пріоритетним напрямам стратегії соціально-економічного розвитку України та її регіонів, а також державним та регіональним цільовим програмам та програмам соціально-економічного розвитку АРК, показав, що проект </w:t>
      </w:r>
      <w:r>
        <w:rPr>
          <w:sz w:val="26"/>
          <w:szCs w:val="26"/>
          <w:lang w:val="uk-UA"/>
        </w:rPr>
        <w:t>«Східний Крим» співпадає з вказаними програмами за стратегічними цілями, доповнює і розвиває їх, але не конкурує з ними і є самостійним за фінансуванням. Тому при реалізації проекту виключається ситуація, коли одному джерелі видатків відповідають кілька розпорядників.</w:t>
      </w:r>
    </w:p>
    <w:p w:rsidR="00912CD7" w:rsidRDefault="00912CD7" w:rsidP="00912CD7">
      <w:pPr>
        <w:spacing w:line="360" w:lineRule="auto"/>
        <w:ind w:firstLine="709"/>
        <w:jc w:val="both"/>
        <w:rPr>
          <w:rFonts w:eastAsia="Arial"/>
          <w:sz w:val="26"/>
          <w:szCs w:val="26"/>
          <w:lang w:val="uk-UA"/>
        </w:rPr>
      </w:pPr>
      <w:r>
        <w:rPr>
          <w:rFonts w:eastAsia="Arial"/>
          <w:sz w:val="26"/>
          <w:szCs w:val="26"/>
          <w:lang w:val="uk-UA"/>
        </w:rPr>
        <w:t>Проте створювана рекреаційно-туристична територіальна система буде успішно функціонувати за умов тісної взаємодії, як мінімум, таких галузей та їх груп:</w:t>
      </w:r>
    </w:p>
    <w:p w:rsidR="00912CD7" w:rsidRDefault="00912CD7" w:rsidP="00912CD7">
      <w:pPr>
        <w:pStyle w:val="a5"/>
        <w:numPr>
          <w:ilvl w:val="0"/>
          <w:numId w:val="1"/>
        </w:numPr>
        <w:spacing w:line="360" w:lineRule="auto"/>
        <w:ind w:left="0" w:firstLine="709"/>
        <w:contextualSpacing/>
        <w:jc w:val="both"/>
        <w:rPr>
          <w:sz w:val="26"/>
          <w:szCs w:val="26"/>
          <w:lang w:val="uk-UA"/>
        </w:rPr>
      </w:pPr>
      <w:r>
        <w:rPr>
          <w:sz w:val="26"/>
          <w:szCs w:val="26"/>
          <w:lang w:val="uk-UA"/>
        </w:rPr>
        <w:t xml:space="preserve">Група галузей, які виконують </w:t>
      </w:r>
      <w:r>
        <w:rPr>
          <w:i/>
          <w:sz w:val="26"/>
          <w:szCs w:val="26"/>
          <w:lang w:val="uk-UA"/>
        </w:rPr>
        <w:t>основну функцію системи</w:t>
      </w:r>
      <w:r>
        <w:rPr>
          <w:sz w:val="26"/>
          <w:szCs w:val="26"/>
          <w:lang w:val="uk-UA"/>
        </w:rPr>
        <w:t xml:space="preserve">. До цієї групи відносяться санаторно-курортні, туристичні підприємства, підприємства сфери відпочинку. Ці галузі складають центральне ядро системи. Єдність на деякій території вже тільки цих галузей (єдність цих цілей, функцій, загальне використання певних природних ресурсів та ін.) дає можливість трактувати територіальну рекреаційну систему як вид міжгалузевих систем, причому склад її ядра свідчить про те, що вона є переважно </w:t>
      </w:r>
      <w:r>
        <w:rPr>
          <w:i/>
          <w:sz w:val="26"/>
          <w:szCs w:val="26"/>
          <w:lang w:val="uk-UA"/>
        </w:rPr>
        <w:t>міжгалузевою системою невиробничої сфери</w:t>
      </w:r>
      <w:r>
        <w:rPr>
          <w:sz w:val="26"/>
          <w:szCs w:val="26"/>
          <w:lang w:val="uk-UA"/>
        </w:rPr>
        <w:t>.</w:t>
      </w:r>
    </w:p>
    <w:p w:rsidR="00912CD7" w:rsidRDefault="00912CD7" w:rsidP="00912CD7">
      <w:pPr>
        <w:pStyle w:val="a5"/>
        <w:numPr>
          <w:ilvl w:val="0"/>
          <w:numId w:val="1"/>
        </w:numPr>
        <w:spacing w:line="360" w:lineRule="auto"/>
        <w:ind w:left="0" w:firstLine="709"/>
        <w:contextualSpacing/>
        <w:jc w:val="both"/>
        <w:rPr>
          <w:sz w:val="26"/>
          <w:szCs w:val="26"/>
          <w:lang w:val="uk-UA"/>
        </w:rPr>
      </w:pPr>
      <w:r>
        <w:rPr>
          <w:sz w:val="26"/>
          <w:szCs w:val="26"/>
          <w:lang w:val="uk-UA"/>
        </w:rPr>
        <w:t xml:space="preserve">Група галузей </w:t>
      </w:r>
      <w:r>
        <w:rPr>
          <w:i/>
          <w:sz w:val="26"/>
          <w:szCs w:val="26"/>
          <w:lang w:val="uk-UA"/>
        </w:rPr>
        <w:t>виробничого обслуговування ядра територіальної системи</w:t>
      </w:r>
      <w:r>
        <w:rPr>
          <w:sz w:val="26"/>
          <w:szCs w:val="26"/>
          <w:lang w:val="uk-UA"/>
        </w:rPr>
        <w:t xml:space="preserve">. Вона представлена будівництвом, транспортом, енергетикою, установами культурного обслуговування, торгівлею, виробництвом спеціального туристичного спорядження, сувенірів тощо. Ланцюжкові міжгалузеві зв’язки ядра створюваної </w:t>
      </w:r>
      <w:r>
        <w:rPr>
          <w:sz w:val="26"/>
          <w:szCs w:val="26"/>
          <w:lang w:val="uk-UA"/>
        </w:rPr>
        <w:lastRenderedPageBreak/>
        <w:t>територіальної системи прямо і безпосередньо впливають на сільське господарство, харчову, а також легку промисловість. Таким чином, територіальна система як міжгалузеве явище тісно пов’язана з іншими системами території і частково перекликається з ними.</w:t>
      </w:r>
    </w:p>
    <w:p w:rsidR="00912CD7" w:rsidRDefault="00912CD7" w:rsidP="00912CD7">
      <w:pPr>
        <w:pStyle w:val="a5"/>
        <w:numPr>
          <w:ilvl w:val="0"/>
          <w:numId w:val="1"/>
        </w:numPr>
        <w:spacing w:line="360" w:lineRule="auto"/>
        <w:ind w:left="0" w:firstLine="709"/>
        <w:contextualSpacing/>
        <w:jc w:val="both"/>
        <w:rPr>
          <w:sz w:val="26"/>
          <w:szCs w:val="26"/>
          <w:lang w:val="uk-UA"/>
        </w:rPr>
      </w:pPr>
      <w:r>
        <w:rPr>
          <w:sz w:val="26"/>
          <w:szCs w:val="26"/>
          <w:lang w:val="uk-UA"/>
        </w:rPr>
        <w:t xml:space="preserve">Галузі, які включають систему </w:t>
      </w:r>
      <w:r>
        <w:rPr>
          <w:i/>
          <w:sz w:val="26"/>
          <w:szCs w:val="26"/>
          <w:lang w:val="uk-UA"/>
        </w:rPr>
        <w:t>навчальних закладів</w:t>
      </w:r>
      <w:r>
        <w:rPr>
          <w:sz w:val="26"/>
          <w:szCs w:val="26"/>
          <w:lang w:val="uk-UA"/>
        </w:rPr>
        <w:t>, що готують спеціалістів вищої та середньої кваліфікації для санаторно-курортного, туристичного господарства і сфери відпочинку. Тут ведеться підготовка лікарів-курортологів, інструкторів фізичної культури, фахівців з туризму: екскурсоводів, менеджерів, економістів, молодших спеціалістів та ін.</w:t>
      </w:r>
    </w:p>
    <w:p w:rsidR="00912CD7" w:rsidRDefault="00912CD7" w:rsidP="00912CD7">
      <w:pPr>
        <w:pStyle w:val="a5"/>
        <w:numPr>
          <w:ilvl w:val="0"/>
          <w:numId w:val="1"/>
        </w:numPr>
        <w:spacing w:line="360" w:lineRule="auto"/>
        <w:ind w:left="0" w:firstLine="709"/>
        <w:contextualSpacing/>
        <w:jc w:val="both"/>
        <w:rPr>
          <w:sz w:val="26"/>
          <w:szCs w:val="26"/>
          <w:lang w:val="uk-UA"/>
        </w:rPr>
      </w:pPr>
      <w:r>
        <w:rPr>
          <w:sz w:val="26"/>
          <w:szCs w:val="26"/>
          <w:lang w:val="uk-UA"/>
        </w:rPr>
        <w:t xml:space="preserve">Галузі, які включають </w:t>
      </w:r>
      <w:r>
        <w:rPr>
          <w:i/>
          <w:sz w:val="26"/>
          <w:szCs w:val="26"/>
          <w:lang w:val="uk-UA"/>
        </w:rPr>
        <w:t>систему спеціалізованих проектно-конструкторських інститутів, бюро, а також науково-дослідних закладів</w:t>
      </w:r>
      <w:r>
        <w:rPr>
          <w:sz w:val="26"/>
          <w:szCs w:val="26"/>
          <w:lang w:val="uk-UA"/>
        </w:rPr>
        <w:t>, які орієнтуються на забезпечення потреб споживачів санаторно-курортних і туристичних підприємств; забезпечують оптимальне проектування рекреаційних зон, вузлів, центрів та об’єктів; забезпечують розробку і впровадження енергоефективних та ресурсозберігаючих технологій, інноваційних систем управління тощо.</w:t>
      </w:r>
    </w:p>
    <w:p w:rsidR="00912CD7" w:rsidRDefault="00912CD7" w:rsidP="00912CD7">
      <w:pPr>
        <w:spacing w:line="360" w:lineRule="auto"/>
        <w:ind w:firstLine="709"/>
        <w:jc w:val="both"/>
        <w:rPr>
          <w:sz w:val="26"/>
          <w:szCs w:val="26"/>
          <w:lang w:val="uk-UA"/>
        </w:rPr>
      </w:pPr>
      <w:r>
        <w:rPr>
          <w:sz w:val="26"/>
          <w:szCs w:val="26"/>
          <w:lang w:val="uk-UA"/>
        </w:rPr>
        <w:t>Отже, проблема горизонтального кореспондування проекту з галузевими програмами та заходами залишається, причому, враховуючи його масштабність, на державному рівні, що потребує узгодження дій щодо реалізації проекту з Міністерством охорони здоров’я України, Міністерством освіти і науки України, Міністерством інфраструктури України, Міністерством фінансів, Міністерством енергетики та вугільної промисловості України, іншими міністерствами і відомствами.</w:t>
      </w:r>
    </w:p>
    <w:p w:rsidR="00912CD7" w:rsidRDefault="00912CD7" w:rsidP="00912CD7">
      <w:pPr>
        <w:spacing w:line="360" w:lineRule="auto"/>
        <w:ind w:firstLine="709"/>
        <w:jc w:val="both"/>
        <w:rPr>
          <w:sz w:val="26"/>
          <w:szCs w:val="26"/>
          <w:lang w:val="uk-UA"/>
        </w:rPr>
      </w:pPr>
      <w:r>
        <w:rPr>
          <w:sz w:val="26"/>
          <w:szCs w:val="26"/>
          <w:lang w:val="uk-UA"/>
        </w:rPr>
        <w:t>Крім того, реалізація проекту на території АРК потребує також узгодження дій з Міністерством економічного розвитку і торгівлі АРК, Міністерством фінансів АРК, Міністерством курортів і туризму АРК, Міністерством охорони здоров’я АРК, іншими міністерствами і відомствами.</w:t>
      </w:r>
    </w:p>
    <w:p w:rsidR="00912CD7" w:rsidRDefault="00912CD7" w:rsidP="00912CD7">
      <w:pPr>
        <w:spacing w:line="360" w:lineRule="auto"/>
        <w:ind w:firstLine="709"/>
        <w:jc w:val="both"/>
        <w:rPr>
          <w:rFonts w:eastAsia="Arial"/>
          <w:sz w:val="26"/>
          <w:szCs w:val="26"/>
          <w:lang w:val="uk-UA"/>
        </w:rPr>
      </w:pPr>
      <w:r>
        <w:rPr>
          <w:sz w:val="26"/>
          <w:szCs w:val="26"/>
          <w:lang w:val="uk-UA"/>
        </w:rPr>
        <w:t xml:space="preserve">І, якщо та місцевому рівні узгодження дій може знаходитися в межах повноважень команди проекту, то на державному та регіональному рівнях виходить за ці межі, що обумовлює позиціонування відсутності </w:t>
      </w:r>
      <w:r>
        <w:rPr>
          <w:rFonts w:eastAsia="Arial"/>
          <w:sz w:val="26"/>
          <w:szCs w:val="26"/>
          <w:lang w:val="uk-UA"/>
        </w:rPr>
        <w:t>організації міжгалузевого співробітництва як однієї із самих значущих загроз для проекту і одного із найбільш вагомих зовнішніх систематичних ризиків.</w:t>
      </w:r>
    </w:p>
    <w:p w:rsidR="00912CD7" w:rsidRDefault="00912CD7" w:rsidP="00912CD7">
      <w:pPr>
        <w:spacing w:line="360" w:lineRule="auto"/>
        <w:jc w:val="center"/>
        <w:rPr>
          <w:rFonts w:eastAsia="Arial"/>
          <w:i/>
          <w:sz w:val="26"/>
          <w:szCs w:val="26"/>
          <w:lang w:val="uk-UA"/>
        </w:rPr>
      </w:pPr>
      <w:r>
        <w:rPr>
          <w:rFonts w:eastAsia="Arial"/>
          <w:i/>
          <w:sz w:val="26"/>
          <w:szCs w:val="26"/>
          <w:lang w:val="uk-UA"/>
        </w:rPr>
        <w:lastRenderedPageBreak/>
        <w:t>Можливі перешкоди: складність забезпечення сумісної діяльності</w:t>
      </w:r>
    </w:p>
    <w:p w:rsidR="00912CD7" w:rsidRDefault="00912CD7" w:rsidP="00912CD7">
      <w:pPr>
        <w:spacing w:line="360" w:lineRule="auto"/>
        <w:jc w:val="center"/>
        <w:rPr>
          <w:rFonts w:eastAsia="Arial"/>
          <w:i/>
          <w:sz w:val="26"/>
          <w:szCs w:val="26"/>
          <w:lang w:val="uk-UA"/>
        </w:rPr>
      </w:pPr>
      <w:r>
        <w:rPr>
          <w:rFonts w:eastAsia="Arial"/>
          <w:i/>
          <w:sz w:val="26"/>
          <w:szCs w:val="26"/>
          <w:lang w:val="uk-UA"/>
        </w:rPr>
        <w:t>інституцій різного рівню</w:t>
      </w:r>
    </w:p>
    <w:p w:rsidR="00912CD7" w:rsidRDefault="00912CD7" w:rsidP="00912CD7">
      <w:pPr>
        <w:spacing w:line="360" w:lineRule="auto"/>
        <w:ind w:firstLine="709"/>
        <w:jc w:val="both"/>
        <w:rPr>
          <w:sz w:val="26"/>
          <w:szCs w:val="26"/>
          <w:lang w:val="uk-UA"/>
        </w:rPr>
      </w:pPr>
      <w:r>
        <w:rPr>
          <w:i/>
          <w:sz w:val="26"/>
          <w:szCs w:val="26"/>
          <w:lang w:val="uk-UA"/>
        </w:rPr>
        <w:t>Інституції</w:t>
      </w:r>
      <w:r>
        <w:rPr>
          <w:sz w:val="26"/>
          <w:szCs w:val="26"/>
          <w:lang w:val="uk-UA"/>
        </w:rPr>
        <w:t xml:space="preserve"> є одним із головних факторів успішності проекту. Значення інституцій не обмежується законодавчою базою, оскільки величезну роль у розвитку територій відіграють ставлення уряду до ринків і свобод, а також ефективність його діяльності. Занадто великий апарат та бюрократія, надмірне державне регулювання економіки, корупція, нечесність при складанні та виконанні держзамовлень, недостатня прозорість і надійність, нездатність надавати бізнесу необхідні послуги призведуть до значних витрат коштів та часу і, в найбільш гострому випадку, до передчасного завершення робіт з реалізації проекту.</w:t>
      </w:r>
    </w:p>
    <w:p w:rsidR="00912CD7" w:rsidRDefault="00912CD7" w:rsidP="00912CD7">
      <w:pPr>
        <w:tabs>
          <w:tab w:val="left" w:pos="284"/>
        </w:tabs>
        <w:spacing w:line="360" w:lineRule="auto"/>
        <w:ind w:firstLine="709"/>
        <w:jc w:val="both"/>
        <w:rPr>
          <w:sz w:val="26"/>
          <w:szCs w:val="26"/>
          <w:lang w:val="uk-UA"/>
        </w:rPr>
      </w:pPr>
      <w:r>
        <w:rPr>
          <w:sz w:val="26"/>
          <w:szCs w:val="26"/>
          <w:lang w:val="uk-UA"/>
        </w:rPr>
        <w:t>Відповідальним органом з управління національними проектами є Державне агентство з інвестицій та управління національними проектами України (Держінвестпроект), а на регіональному рівні – Кримський регіональний центр з інвестицій та розвитку. Також Держінвестпроект є головним розпорядником бюджетних коштів.</w:t>
      </w:r>
    </w:p>
    <w:p w:rsidR="00912CD7" w:rsidRDefault="00912CD7" w:rsidP="00912CD7">
      <w:pPr>
        <w:tabs>
          <w:tab w:val="left" w:pos="284"/>
        </w:tabs>
        <w:spacing w:line="360" w:lineRule="auto"/>
        <w:ind w:firstLine="709"/>
        <w:jc w:val="both"/>
        <w:rPr>
          <w:sz w:val="26"/>
          <w:szCs w:val="26"/>
          <w:lang w:val="uk-UA"/>
        </w:rPr>
      </w:pPr>
      <w:r>
        <w:rPr>
          <w:sz w:val="26"/>
          <w:szCs w:val="26"/>
          <w:lang w:val="uk-UA"/>
        </w:rPr>
        <w:t>Щодо Кримського регіонального центру з інвестицій та розвитку, то, відповідно до Наказу Держінвестпроекту від 1 листопада 2011 року №</w:t>
      </w:r>
      <w:r>
        <w:rPr>
          <w:sz w:val="26"/>
          <w:szCs w:val="26"/>
          <w:lang w:val="uk-UA" w:eastAsia="en-US"/>
        </w:rPr>
        <w:t> </w:t>
      </w:r>
      <w:r>
        <w:rPr>
          <w:sz w:val="26"/>
          <w:szCs w:val="26"/>
          <w:lang w:val="uk-UA"/>
        </w:rPr>
        <w:t>144 «</w:t>
      </w:r>
      <w:r>
        <w:rPr>
          <w:bCs/>
          <w:sz w:val="26"/>
          <w:szCs w:val="26"/>
          <w:lang w:val="uk-UA"/>
        </w:rPr>
        <w:t>Про затвердження деяких типових актів з питань організації діяльності регіональних центрів з інвестицій та розвитку» та «</w:t>
      </w:r>
      <w:r>
        <w:rPr>
          <w:sz w:val="26"/>
          <w:szCs w:val="26"/>
          <w:lang w:val="uk-UA"/>
        </w:rPr>
        <w:t>Угоди про співробітництво» між Держінвестпроектом та Радою міністрів Автономної Республіки Крим</w:t>
      </w:r>
      <w:r>
        <w:rPr>
          <w:bCs/>
          <w:sz w:val="26"/>
          <w:szCs w:val="26"/>
          <w:lang w:val="uk-UA"/>
        </w:rPr>
        <w:t xml:space="preserve">, Центр </w:t>
      </w:r>
      <w:r>
        <w:rPr>
          <w:sz w:val="26"/>
          <w:szCs w:val="26"/>
          <w:lang w:val="uk-UA"/>
        </w:rPr>
        <w:t>бере участь в межах компетенції в підготовці та реалізації складових національних проектів на території АРК та участь у підготовці та здійсненні заходів щодо формування інвестиційної привабливості території.</w:t>
      </w:r>
    </w:p>
    <w:p w:rsidR="00912CD7" w:rsidRDefault="00912CD7" w:rsidP="00912CD7">
      <w:pPr>
        <w:spacing w:line="360" w:lineRule="auto"/>
        <w:ind w:firstLine="709"/>
        <w:jc w:val="both"/>
        <w:rPr>
          <w:sz w:val="26"/>
          <w:szCs w:val="26"/>
          <w:lang w:val="uk-UA"/>
        </w:rPr>
      </w:pPr>
      <w:r>
        <w:rPr>
          <w:sz w:val="26"/>
          <w:szCs w:val="26"/>
          <w:lang w:val="uk-UA"/>
        </w:rPr>
        <w:t>Наряду з цим, виконання державних і регіональних програм соціально-економічного та культурного розвитку, програм охорони довкілля, підготовку та виконання відповідних обласних і районних бюджетів на відповідній території забезпечують місцеві державні адміністрації (Конституція України, ст. 119).</w:t>
      </w:r>
    </w:p>
    <w:p w:rsidR="00912CD7" w:rsidRDefault="00912CD7" w:rsidP="00912CD7">
      <w:pPr>
        <w:spacing w:line="360" w:lineRule="auto"/>
        <w:ind w:firstLine="709"/>
        <w:jc w:val="both"/>
        <w:rPr>
          <w:sz w:val="26"/>
          <w:szCs w:val="26"/>
          <w:lang w:val="uk-UA"/>
        </w:rPr>
      </w:pPr>
      <w:r>
        <w:rPr>
          <w:sz w:val="26"/>
          <w:szCs w:val="26"/>
          <w:lang w:val="uk-UA"/>
        </w:rPr>
        <w:t xml:space="preserve">Затвердження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самоврядування;затвердження місцевого бюджету; встановлення місцевих податків і зборів відповідно до Податкового кодексу України; прийняття рішень щодо передачі коштів з відповідного місцевого бюджету; прийняття рішень </w:t>
      </w:r>
      <w:r>
        <w:rPr>
          <w:sz w:val="26"/>
          <w:szCs w:val="26"/>
          <w:lang w:val="uk-UA"/>
        </w:rPr>
        <w:lastRenderedPageBreak/>
        <w:t>щодо надання відповідно до чинного законодавства пільг по місцевих податках і зборах, а також земельному податку; затвердження ставок земельного податку; затвердження в установленому порядку місцевих містобудівних програм, генеральних планів забудови відповідних населених пунктів, іншої містобудівної документації; встановлення відповідно до законодавства правил з питань благоустрою території населеного пункту, прийняття рішень, пов'язаних із створенням спеціальних вільних та інших зон є виключною компетенцією органів місцевого самоврядування (Закон України «Про місцеве самоврядування в Україні»).</w:t>
      </w:r>
    </w:p>
    <w:p w:rsidR="00912CD7" w:rsidRDefault="00912CD7" w:rsidP="00912CD7">
      <w:pPr>
        <w:spacing w:line="360" w:lineRule="auto"/>
        <w:ind w:firstLine="709"/>
        <w:jc w:val="both"/>
        <w:rPr>
          <w:sz w:val="26"/>
          <w:szCs w:val="26"/>
          <w:lang w:val="uk-UA"/>
        </w:rPr>
      </w:pPr>
      <w:r>
        <w:rPr>
          <w:sz w:val="26"/>
          <w:szCs w:val="26"/>
          <w:lang w:val="uk-UA"/>
        </w:rPr>
        <w:t xml:space="preserve">Отже, органи державного та місцевого управління, які отримують інформацію про стан підсистем територіальної системи та керують ними, здатні приймати рішення, які забезпечать успішну реалізацію проекту, або унеможливлять його. Зокрема, зміна податкової політики щодо стимулювання інвестиційної активності спричинить погіршення інвестиційного клімату, що унеможливить створення інфраструктури рекреаційної зони міста за рахунок приватних інвестицій. </w:t>
      </w:r>
      <w:r>
        <w:rPr>
          <w:sz w:val="26"/>
          <w:szCs w:val="26"/>
          <w:lang w:val="uk-UA" w:eastAsia="uk-UA"/>
        </w:rPr>
        <w:t>Стабільність політики державної та місцевої влади щодо співпраці з бізнесом, громадою, суспільними організаціями, налаштованість на конструктивний діалог і ефективну співпрацю є визначальною умовою успішності подібного проекту.</w:t>
      </w:r>
    </w:p>
    <w:p w:rsidR="00912CD7" w:rsidRDefault="00912CD7" w:rsidP="00912CD7">
      <w:pPr>
        <w:widowControl w:val="0"/>
        <w:spacing w:line="360" w:lineRule="auto"/>
        <w:ind w:firstLine="709"/>
        <w:jc w:val="both"/>
        <w:rPr>
          <w:sz w:val="26"/>
          <w:szCs w:val="26"/>
          <w:lang w:val="uk-UA"/>
        </w:rPr>
      </w:pPr>
      <w:r>
        <w:rPr>
          <w:sz w:val="26"/>
          <w:szCs w:val="26"/>
          <w:lang w:val="uk-UA"/>
        </w:rPr>
        <w:t>Тому постає проблема забезпечення вертикальної взаємодії органів державної виконавчої влади, місцевої влади, місцевого самоврядування та команди проекту, розв’язання якої на сей час знаходиться в межах компетенції Національного агентства і Кримського регіонального центру з інвестицій та розвитку, проте ефективний механізм такої взаємодії, як показує практика реалізації національних проектів в Україні, поки не відпрацьований.</w:t>
      </w:r>
    </w:p>
    <w:p w:rsidR="00912CD7" w:rsidRDefault="00912CD7" w:rsidP="00912CD7">
      <w:pPr>
        <w:spacing w:line="360" w:lineRule="auto"/>
        <w:ind w:firstLine="709"/>
        <w:jc w:val="both"/>
        <w:rPr>
          <w:rFonts w:eastAsia="Arial"/>
          <w:sz w:val="26"/>
          <w:szCs w:val="26"/>
          <w:lang w:val="uk-UA"/>
        </w:rPr>
      </w:pPr>
      <w:r>
        <w:rPr>
          <w:sz w:val="26"/>
          <w:szCs w:val="26"/>
          <w:lang w:val="uk-UA"/>
        </w:rPr>
        <w:t xml:space="preserve">Вищевикладене обумовлює позиціонування </w:t>
      </w:r>
      <w:r>
        <w:rPr>
          <w:rFonts w:eastAsia="Arial"/>
          <w:sz w:val="26"/>
          <w:szCs w:val="26"/>
          <w:lang w:val="uk-UA"/>
        </w:rPr>
        <w:t>відсутності сумісної діяльності інституцій різного рівню як значущої загрози для проекту і одного із найбільш вагомих зовнішніх систематичних (політичних) ризиків.</w:t>
      </w:r>
    </w:p>
    <w:p w:rsidR="00912CD7" w:rsidRDefault="00912CD7" w:rsidP="00912CD7">
      <w:pPr>
        <w:spacing w:line="360" w:lineRule="auto"/>
        <w:jc w:val="center"/>
        <w:rPr>
          <w:rFonts w:eastAsia="Arial"/>
          <w:i/>
          <w:sz w:val="26"/>
          <w:szCs w:val="26"/>
          <w:lang w:val="uk-UA"/>
        </w:rPr>
      </w:pPr>
      <w:r>
        <w:rPr>
          <w:color w:val="auto"/>
          <w:sz w:val="26"/>
          <w:szCs w:val="26"/>
          <w:lang w:val="uk-UA"/>
        </w:rPr>
        <w:br w:type="page"/>
      </w:r>
      <w:r>
        <w:rPr>
          <w:rFonts w:eastAsia="Arial"/>
          <w:i/>
          <w:sz w:val="26"/>
          <w:szCs w:val="26"/>
          <w:lang w:val="uk-UA"/>
        </w:rPr>
        <w:lastRenderedPageBreak/>
        <w:t>Можливі перешкоди: складність забезпечення комплексного управління прибережною зоною</w:t>
      </w:r>
    </w:p>
    <w:p w:rsidR="00912CD7" w:rsidRDefault="00912CD7" w:rsidP="00912CD7">
      <w:pPr>
        <w:spacing w:line="360" w:lineRule="auto"/>
        <w:ind w:firstLine="709"/>
        <w:jc w:val="both"/>
        <w:rPr>
          <w:rFonts w:eastAsia="Arial"/>
          <w:sz w:val="26"/>
          <w:szCs w:val="26"/>
          <w:lang w:val="uk-UA"/>
        </w:rPr>
      </w:pPr>
      <w:r>
        <w:rPr>
          <w:rFonts w:eastAsia="Arial"/>
          <w:sz w:val="26"/>
          <w:szCs w:val="26"/>
          <w:lang w:val="uk-UA"/>
        </w:rPr>
        <w:t>Планування територій, тобто створення та впровадження містобудівної документації та ухвалення і реалізація відповідних рішень, регулюється законодавством в галузі містобудування, земельних відносин (зокрема, охорони і використання земель), охорони навколишнього природного середовища, використання ресурсів та ін. Територія реалізації проекту є прибережною зоною, яка, відповідно до законодавства України, має такі особливості:</w:t>
      </w:r>
    </w:p>
    <w:p w:rsidR="00912CD7" w:rsidRDefault="00912CD7" w:rsidP="00912CD7">
      <w:pPr>
        <w:pStyle w:val="a5"/>
        <w:numPr>
          <w:ilvl w:val="0"/>
          <w:numId w:val="2"/>
        </w:numPr>
        <w:spacing w:line="360" w:lineRule="auto"/>
        <w:ind w:left="0" w:firstLine="709"/>
        <w:jc w:val="both"/>
        <w:rPr>
          <w:rFonts w:eastAsia="Arial"/>
          <w:sz w:val="26"/>
          <w:szCs w:val="26"/>
          <w:lang w:val="uk-UA"/>
        </w:rPr>
      </w:pPr>
      <w:r>
        <w:rPr>
          <w:rFonts w:eastAsia="Arial"/>
          <w:sz w:val="26"/>
          <w:szCs w:val="26"/>
          <w:lang w:val="uk-UA"/>
        </w:rPr>
        <w:t>розглядається як особливий природно-господарський комплекс, унікальність якого полягає в високій біопродуктивності, вразливості, наявності значного рекреаційно-оздоровчого потенціалу та ін.;</w:t>
      </w:r>
    </w:p>
    <w:p w:rsidR="00912CD7" w:rsidRDefault="00912CD7" w:rsidP="00912CD7">
      <w:pPr>
        <w:pStyle w:val="a5"/>
        <w:numPr>
          <w:ilvl w:val="0"/>
          <w:numId w:val="2"/>
        </w:numPr>
        <w:spacing w:line="360" w:lineRule="auto"/>
        <w:ind w:left="0" w:firstLine="709"/>
        <w:jc w:val="both"/>
        <w:rPr>
          <w:rFonts w:eastAsia="Arial"/>
          <w:sz w:val="26"/>
          <w:szCs w:val="26"/>
          <w:lang w:val="uk-UA"/>
        </w:rPr>
      </w:pPr>
      <w:r>
        <w:rPr>
          <w:rFonts w:eastAsia="Arial"/>
          <w:sz w:val="26"/>
          <w:szCs w:val="26"/>
          <w:lang w:val="uk-UA"/>
        </w:rPr>
        <w:t>має заборону або обмеження певних видів господарської діяльності, а планування нових видів діяльності має передбачати оцінку впливу на навколишнє середовище та стратегічну екологічну оцінку на довгострокову перспективу;</w:t>
      </w:r>
    </w:p>
    <w:p w:rsidR="00912CD7" w:rsidRDefault="00912CD7" w:rsidP="00912CD7">
      <w:pPr>
        <w:pStyle w:val="a5"/>
        <w:numPr>
          <w:ilvl w:val="0"/>
          <w:numId w:val="2"/>
        </w:numPr>
        <w:spacing w:line="360" w:lineRule="auto"/>
        <w:ind w:left="0" w:firstLine="709"/>
        <w:jc w:val="both"/>
        <w:rPr>
          <w:rFonts w:eastAsia="Arial"/>
          <w:sz w:val="26"/>
          <w:szCs w:val="26"/>
          <w:lang w:val="uk-UA"/>
        </w:rPr>
      </w:pPr>
      <w:r>
        <w:rPr>
          <w:rFonts w:eastAsia="Arial"/>
          <w:sz w:val="26"/>
          <w:szCs w:val="26"/>
          <w:lang w:val="uk-UA"/>
        </w:rPr>
        <w:t>вимагає заходів щодо поліпшення екологічної ситуації, припинення втрат біологічного та ландшафтного розмаїття, підвищення рівня екологічної безпеки.</w:t>
      </w:r>
    </w:p>
    <w:p w:rsidR="00912CD7" w:rsidRDefault="00912CD7" w:rsidP="00912CD7">
      <w:pPr>
        <w:pStyle w:val="a5"/>
        <w:spacing w:line="360" w:lineRule="auto"/>
        <w:ind w:left="0" w:firstLine="709"/>
        <w:jc w:val="both"/>
        <w:rPr>
          <w:rFonts w:eastAsia="Arial"/>
          <w:sz w:val="26"/>
          <w:szCs w:val="26"/>
          <w:lang w:val="uk-UA"/>
        </w:rPr>
      </w:pPr>
      <w:r>
        <w:rPr>
          <w:rFonts w:eastAsia="Arial"/>
          <w:sz w:val="26"/>
          <w:szCs w:val="26"/>
          <w:lang w:val="uk-UA"/>
        </w:rPr>
        <w:t>Отже, використання таких територій вимагає запровадження системи збалансованого інтегрованого управління, що передбачає секторальну та вертикальну інтеграцію. Проте на цей час впровадження такої системи супроводжується труднощами, що мають як об’єктивний, так і суб’єктивний характер, зокрема:</w:t>
      </w:r>
    </w:p>
    <w:p w:rsidR="00912CD7" w:rsidRDefault="00912CD7" w:rsidP="00912CD7">
      <w:pPr>
        <w:pStyle w:val="a5"/>
        <w:numPr>
          <w:ilvl w:val="0"/>
          <w:numId w:val="2"/>
        </w:numPr>
        <w:spacing w:line="360" w:lineRule="auto"/>
        <w:ind w:left="0" w:firstLine="709"/>
        <w:jc w:val="both"/>
        <w:rPr>
          <w:rFonts w:eastAsia="Arial"/>
          <w:sz w:val="26"/>
          <w:szCs w:val="26"/>
          <w:lang w:val="uk-UA"/>
        </w:rPr>
      </w:pPr>
      <w:r>
        <w:rPr>
          <w:rFonts w:eastAsia="Arial"/>
          <w:sz w:val="26"/>
          <w:szCs w:val="26"/>
          <w:lang w:val="uk-UA"/>
        </w:rPr>
        <w:t>визначення меж прибережної смуги морів носить досить умовний характер, не має строгого обґрунтування й тому не може бути адекватно прийнятним;</w:t>
      </w:r>
    </w:p>
    <w:p w:rsidR="00912CD7" w:rsidRDefault="00912CD7" w:rsidP="00912CD7">
      <w:pPr>
        <w:pStyle w:val="a5"/>
        <w:numPr>
          <w:ilvl w:val="0"/>
          <w:numId w:val="2"/>
        </w:numPr>
        <w:spacing w:line="360" w:lineRule="auto"/>
        <w:ind w:left="0" w:firstLine="709"/>
        <w:jc w:val="both"/>
        <w:rPr>
          <w:rFonts w:eastAsia="Arial"/>
          <w:sz w:val="26"/>
          <w:szCs w:val="26"/>
          <w:lang w:val="uk-UA"/>
        </w:rPr>
      </w:pPr>
      <w:r>
        <w:rPr>
          <w:rFonts w:eastAsia="Arial"/>
          <w:sz w:val="26"/>
          <w:szCs w:val="26"/>
          <w:lang w:val="uk-UA"/>
        </w:rPr>
        <w:t>межи прибережної смуги не співпадають з межами адміністративно-територіальних одиниць, що зумовлює необхідність застосування диференційованого підходу до різних ділянок їх територій та складність узгодження інтересів зацікавлених сторін;</w:t>
      </w:r>
    </w:p>
    <w:p w:rsidR="00912CD7" w:rsidRDefault="00912CD7" w:rsidP="00912CD7">
      <w:pPr>
        <w:pStyle w:val="a5"/>
        <w:numPr>
          <w:ilvl w:val="0"/>
          <w:numId w:val="2"/>
        </w:numPr>
        <w:spacing w:line="360" w:lineRule="auto"/>
        <w:ind w:left="0" w:firstLine="709"/>
        <w:jc w:val="both"/>
        <w:rPr>
          <w:rFonts w:eastAsia="Arial"/>
          <w:sz w:val="26"/>
          <w:szCs w:val="26"/>
          <w:lang w:val="uk-UA"/>
        </w:rPr>
      </w:pPr>
      <w:r>
        <w:rPr>
          <w:rFonts w:eastAsia="Arial"/>
          <w:sz w:val="26"/>
          <w:szCs w:val="26"/>
          <w:lang w:val="uk-UA"/>
        </w:rPr>
        <w:t xml:space="preserve">на прибережних територіях законодавчо визначаються декілька типів спеціальних зон: водоохоронні зони (ст. 87 Водного Кодексу України), які за цільовим призначенням належать до земель водного фонду і на яких </w:t>
      </w:r>
      <w:r>
        <w:rPr>
          <w:rFonts w:eastAsia="Arial"/>
          <w:sz w:val="26"/>
          <w:szCs w:val="26"/>
          <w:lang w:val="uk-UA"/>
        </w:rPr>
        <w:lastRenderedPageBreak/>
        <w:t>встановлюються суворі обмеження господарської діяльності; санітарні зони, які встановлюються з метою охорони водних об’єктів у районах забору води для централізованого водопостачання, лікувальних і оздоровчих потреб та поділяються на пояси особливого режиму, а їх межі встановлюються місцевими радами за погодженням з державними органами санітарного нагляду, охорони навколишнього природного середовища, водного господарства та геології (ст. 93 Водного Кодексу України та ст. 114 Земельного Кодексу України);</w:t>
      </w:r>
    </w:p>
    <w:p w:rsidR="00912CD7" w:rsidRDefault="00912CD7" w:rsidP="00912CD7">
      <w:pPr>
        <w:pStyle w:val="a5"/>
        <w:numPr>
          <w:ilvl w:val="0"/>
          <w:numId w:val="2"/>
        </w:numPr>
        <w:spacing w:line="360" w:lineRule="auto"/>
        <w:ind w:left="0" w:firstLine="709"/>
        <w:jc w:val="both"/>
        <w:rPr>
          <w:rFonts w:eastAsia="Arial"/>
          <w:sz w:val="26"/>
          <w:szCs w:val="26"/>
          <w:lang w:val="uk-UA"/>
        </w:rPr>
      </w:pPr>
      <w:r>
        <w:rPr>
          <w:rFonts w:eastAsia="Arial"/>
          <w:sz w:val="26"/>
          <w:szCs w:val="26"/>
          <w:lang w:val="uk-UA"/>
        </w:rPr>
        <w:t>на зазначеній території, відповідно до Закону України «Про курорти», вводиться також округ санітарної охорони курортів (ст. 28); для курортів, які використовують родовища корисних копалин, що належать до природних лікувальних ресурсів, встановлюється також округ гірничо-санітарної охорони, який, в свою чергу, поділяється на три зони (суворого режиму, зону обмежень, зону спостережень);</w:t>
      </w:r>
    </w:p>
    <w:p w:rsidR="00912CD7" w:rsidRDefault="00912CD7" w:rsidP="00912CD7">
      <w:pPr>
        <w:pStyle w:val="a5"/>
        <w:numPr>
          <w:ilvl w:val="0"/>
          <w:numId w:val="2"/>
        </w:numPr>
        <w:spacing w:line="360" w:lineRule="auto"/>
        <w:ind w:left="0" w:firstLine="709"/>
        <w:jc w:val="both"/>
        <w:rPr>
          <w:rFonts w:eastAsia="Arial"/>
          <w:sz w:val="26"/>
          <w:szCs w:val="26"/>
          <w:lang w:val="uk-UA"/>
        </w:rPr>
      </w:pPr>
      <w:r>
        <w:rPr>
          <w:rFonts w:eastAsia="Arial"/>
          <w:sz w:val="26"/>
          <w:szCs w:val="26"/>
          <w:lang w:val="uk-UA"/>
        </w:rPr>
        <w:t>прибережні зони та акваторії використовуються для морських перевезень, тому їх частина може відноситися до категорій земель морського транспорту, зокрема, це – землі під причалами та іншими спорудами (ст. 69 Земельного Кодексу України);</w:t>
      </w:r>
    </w:p>
    <w:p w:rsidR="00912CD7" w:rsidRDefault="00912CD7" w:rsidP="00912CD7">
      <w:pPr>
        <w:pStyle w:val="a5"/>
        <w:numPr>
          <w:ilvl w:val="0"/>
          <w:numId w:val="2"/>
        </w:numPr>
        <w:spacing w:line="360" w:lineRule="auto"/>
        <w:ind w:left="0" w:firstLine="709"/>
        <w:jc w:val="both"/>
        <w:rPr>
          <w:rFonts w:eastAsia="Arial"/>
          <w:sz w:val="26"/>
          <w:szCs w:val="26"/>
          <w:lang w:val="uk-UA"/>
        </w:rPr>
      </w:pPr>
      <w:r>
        <w:rPr>
          <w:rFonts w:eastAsia="Arial"/>
          <w:sz w:val="26"/>
          <w:szCs w:val="26"/>
          <w:lang w:val="uk-UA"/>
        </w:rPr>
        <w:t>прибережні зони мають величезний рекреаційний потенціал, тому існує стійка тенденція до зростання їх засмічення побутовими відходами, яка у місцях відпочинку (в тому числі і місцях відпочинку неорганізованих туристів) набуває вже загрозливого характеру;</w:t>
      </w:r>
    </w:p>
    <w:p w:rsidR="00912CD7" w:rsidRDefault="00912CD7" w:rsidP="00912CD7">
      <w:pPr>
        <w:pStyle w:val="a5"/>
        <w:numPr>
          <w:ilvl w:val="0"/>
          <w:numId w:val="2"/>
        </w:numPr>
        <w:spacing w:line="360" w:lineRule="auto"/>
        <w:ind w:left="0" w:firstLine="709"/>
        <w:jc w:val="both"/>
        <w:rPr>
          <w:rFonts w:eastAsia="Arial"/>
          <w:sz w:val="26"/>
          <w:szCs w:val="26"/>
          <w:lang w:val="uk-UA"/>
        </w:rPr>
      </w:pPr>
      <w:r>
        <w:rPr>
          <w:rFonts w:eastAsia="Arial"/>
          <w:sz w:val="26"/>
          <w:szCs w:val="26"/>
          <w:lang w:val="uk-UA"/>
        </w:rPr>
        <w:t>прибережні зони є густозаселеними, тому активна господарська діяльність населення на їх території знижує якість їх рекреаційного потенціалу, зокрема, викликає забруднення морських вод дренажними та стічними водами антропогенного походження; крім того, існує проблема дифузних забруднень внаслідок сільськогосподарської діяльності, які важко піддаються моніторингу, контролю та регулюванню.</w:t>
      </w:r>
    </w:p>
    <w:p w:rsidR="00912CD7" w:rsidRDefault="00912CD7" w:rsidP="00912CD7">
      <w:pPr>
        <w:pStyle w:val="a5"/>
        <w:spacing w:line="360" w:lineRule="auto"/>
        <w:ind w:left="0" w:firstLine="709"/>
        <w:jc w:val="both"/>
        <w:rPr>
          <w:rFonts w:eastAsia="Arial"/>
          <w:sz w:val="26"/>
          <w:szCs w:val="26"/>
          <w:lang w:val="uk-UA"/>
        </w:rPr>
      </w:pPr>
      <w:r>
        <w:rPr>
          <w:rFonts w:eastAsia="Arial"/>
          <w:sz w:val="26"/>
          <w:szCs w:val="26"/>
          <w:lang w:val="uk-UA"/>
        </w:rPr>
        <w:t xml:space="preserve">Отже, наявність різноманітних зон спеціального функціонального призначення на території реалізації проекту та їх різнопланова підпорядкованість вимагає горизонтальної (між адміністративними одиницями), вертикальної (між місцевими, регіональними та центральними органами влади) та секторальної (між комунальним, природоохоронним, аграрним, промислово-портовим та іншими </w:t>
      </w:r>
      <w:r>
        <w:rPr>
          <w:rFonts w:eastAsia="Arial"/>
          <w:sz w:val="26"/>
          <w:szCs w:val="26"/>
          <w:lang w:val="uk-UA"/>
        </w:rPr>
        <w:lastRenderedPageBreak/>
        <w:t>секторами) координації, яка не повністю знаходиться в межах компетенції команди проекту.</w:t>
      </w:r>
    </w:p>
    <w:p w:rsidR="00912CD7" w:rsidRDefault="00912CD7" w:rsidP="00912CD7">
      <w:pPr>
        <w:spacing w:line="360" w:lineRule="auto"/>
        <w:ind w:firstLine="709"/>
        <w:jc w:val="both"/>
        <w:rPr>
          <w:rFonts w:eastAsia="Arial"/>
          <w:sz w:val="26"/>
          <w:szCs w:val="26"/>
          <w:lang w:val="uk-UA"/>
        </w:rPr>
      </w:pPr>
      <w:r>
        <w:rPr>
          <w:sz w:val="26"/>
          <w:szCs w:val="26"/>
          <w:lang w:val="uk-UA"/>
        </w:rPr>
        <w:t xml:space="preserve">Вищевикладене обумовлює позиціонування </w:t>
      </w:r>
      <w:r>
        <w:rPr>
          <w:rFonts w:eastAsia="Arial"/>
          <w:sz w:val="26"/>
          <w:szCs w:val="26"/>
          <w:lang w:val="uk-UA"/>
        </w:rPr>
        <w:t>відсутності комплексного управління прибережною зоною як значущої загрози для проекту і одного із найбільш вагомих зовнішніх систематичних (політичних) ризиків.</w:t>
      </w:r>
    </w:p>
    <w:p w:rsidR="00912CD7" w:rsidRDefault="00912CD7" w:rsidP="00912CD7">
      <w:pPr>
        <w:spacing w:line="360" w:lineRule="auto"/>
        <w:ind w:firstLine="709"/>
        <w:jc w:val="both"/>
        <w:rPr>
          <w:color w:val="auto"/>
          <w:sz w:val="26"/>
          <w:szCs w:val="26"/>
          <w:lang w:val="uk-UA"/>
        </w:rPr>
      </w:pPr>
    </w:p>
    <w:p w:rsidR="00912CD7" w:rsidRDefault="00912CD7" w:rsidP="00912CD7">
      <w:pPr>
        <w:spacing w:line="360" w:lineRule="auto"/>
        <w:jc w:val="center"/>
        <w:rPr>
          <w:rFonts w:eastAsia="Arial"/>
          <w:i/>
          <w:sz w:val="26"/>
          <w:szCs w:val="26"/>
          <w:lang w:val="uk-UA"/>
        </w:rPr>
      </w:pPr>
      <w:r>
        <w:rPr>
          <w:rFonts w:eastAsia="Arial"/>
          <w:i/>
          <w:sz w:val="26"/>
          <w:szCs w:val="26"/>
          <w:lang w:val="uk-UA"/>
        </w:rPr>
        <w:t>Можливі перешкоди: невідпрацьованість механізму реалізації</w:t>
      </w:r>
    </w:p>
    <w:p w:rsidR="00912CD7" w:rsidRDefault="00912CD7" w:rsidP="00912CD7">
      <w:pPr>
        <w:spacing w:line="360" w:lineRule="auto"/>
        <w:jc w:val="center"/>
        <w:rPr>
          <w:rFonts w:eastAsia="Arial"/>
          <w:i/>
          <w:sz w:val="26"/>
          <w:szCs w:val="26"/>
          <w:lang w:val="uk-UA"/>
        </w:rPr>
      </w:pPr>
      <w:r>
        <w:rPr>
          <w:rFonts w:eastAsia="Arial"/>
          <w:i/>
          <w:sz w:val="26"/>
          <w:szCs w:val="26"/>
          <w:lang w:val="uk-UA"/>
        </w:rPr>
        <w:t>державно-приватного партнерства</w:t>
      </w:r>
    </w:p>
    <w:p w:rsidR="00912CD7" w:rsidRDefault="00912CD7" w:rsidP="00912CD7">
      <w:pPr>
        <w:widowControl w:val="0"/>
        <w:spacing w:line="360" w:lineRule="auto"/>
        <w:ind w:firstLine="709"/>
        <w:jc w:val="both"/>
        <w:rPr>
          <w:noProof/>
          <w:sz w:val="26"/>
          <w:szCs w:val="26"/>
          <w:lang w:val="uk-UA"/>
        </w:rPr>
      </w:pPr>
      <w:r>
        <w:rPr>
          <w:sz w:val="26"/>
          <w:szCs w:val="26"/>
          <w:lang w:val="uk-UA" w:eastAsia="en-US"/>
        </w:rPr>
        <w:t xml:space="preserve">Невід’ємною складовою успішної реалізації проекту є створення та ефективне функціонування соціальної і виробничої інфраструктури, що вимагає широкого використання механізму державно-приватного партнерства (ДПП), який легітимізований в нашій державі Законом України «Про державно-приватне партнерство» </w:t>
      </w:r>
      <w:r>
        <w:rPr>
          <w:noProof/>
          <w:sz w:val="26"/>
          <w:szCs w:val="26"/>
          <w:lang w:val="uk-UA"/>
        </w:rPr>
        <w:t>від 1 липня 2010 р.№ 2404 – VI.</w:t>
      </w:r>
      <w:r>
        <w:rPr>
          <w:sz w:val="26"/>
          <w:szCs w:val="26"/>
          <w:lang w:val="uk-UA" w:eastAsia="en-US"/>
        </w:rPr>
        <w:t>В українському законодавстві закладено широкий підхід до розуміння ДПП, відсутній виключний перелік форм його реалізації: у рамках здійснення ДПП можуть укладатися договори про концесію, спільну діяльність, розподіл продукції та інші договори, – це значно підвищує його ефективність в аспекті реалізації проекту, оскільки дозволяє гнучке використання форм ДПП залежно від масштабу локальних інвестиційних проектів або сфери діяльності.</w:t>
      </w:r>
    </w:p>
    <w:p w:rsidR="00912CD7" w:rsidRDefault="00912CD7" w:rsidP="00912CD7">
      <w:pPr>
        <w:widowControl w:val="0"/>
        <w:spacing w:line="360" w:lineRule="auto"/>
        <w:ind w:firstLine="709"/>
        <w:jc w:val="both"/>
        <w:rPr>
          <w:sz w:val="26"/>
          <w:szCs w:val="26"/>
          <w:lang w:val="uk-UA" w:eastAsia="en-US"/>
        </w:rPr>
      </w:pPr>
      <w:r>
        <w:rPr>
          <w:rFonts w:eastAsia="Arial"/>
          <w:sz w:val="26"/>
          <w:szCs w:val="26"/>
          <w:lang w:val="uk-UA"/>
        </w:rPr>
        <w:t xml:space="preserve">Проте </w:t>
      </w:r>
      <w:r>
        <w:rPr>
          <w:sz w:val="26"/>
          <w:szCs w:val="26"/>
          <w:lang w:val="uk-UA" w:eastAsia="en-US"/>
        </w:rPr>
        <w:t xml:space="preserve">У 2011-2012 рр. прийнято низку нормативних документів щодо методик і процедур, пов’язаних із реалізацією ДПП (Постанова Кабінету Міністрів України «Про затвердження Порядку надання приватним партнером державному партнеру інформації про виконання договору, укладеного в рамках державно-приватного партнерства» від 9 лютого 2011 р. № 81, Постанова Кабінету Міністрів України «Про затвердження Методики виявлення ризиків, пов'язаних з державно-приватним партнерством, їх оцінки та визначення форми управління ними» від 16 лютого 2011 р. № 232, Постанова Кабінету Міністрів України «Про затвердження Порядку надання державної підтримки здійсненню державно-приватного партнерства» від 17 березня 2011 р. № 279 та ін.). Згідно цих документів, ще на етапі до підписання угоди про ДПП приватному партнерові потрібно пройти складні процедури узгоджень. Водночас, він не отримує від держави необхідних гарантій щодо виконання з її боку зобов’язань. Згідно затвердженого порядку, </w:t>
      </w:r>
      <w:r>
        <w:rPr>
          <w:sz w:val="26"/>
          <w:szCs w:val="26"/>
          <w:lang w:val="uk-UA" w:eastAsia="en-US"/>
        </w:rPr>
        <w:lastRenderedPageBreak/>
        <w:t>спочатку необхідно підписати контракт про ДПП та розпочати його реалізацію, а вже потім держава прийматиме рішення про надання фінансової підтримки, що не відповідає базовій сутності ДПП. Таким чином, нормативно-правова база регулювання розвитку ДПП в Україні є дуже складною, багаторівневою і забюрократизованою, що в умовах високого рівня корупції створює ризики для ефективного використання цього механізму для активізації інвестиційної діяльності.</w:t>
      </w:r>
    </w:p>
    <w:p w:rsidR="00912CD7" w:rsidRDefault="00912CD7" w:rsidP="00912CD7">
      <w:pPr>
        <w:widowControl w:val="0"/>
        <w:spacing w:line="360" w:lineRule="auto"/>
        <w:ind w:firstLine="709"/>
        <w:jc w:val="both"/>
        <w:rPr>
          <w:sz w:val="26"/>
          <w:szCs w:val="26"/>
          <w:lang w:val="uk-UA" w:eastAsia="en-US"/>
        </w:rPr>
      </w:pPr>
      <w:r>
        <w:rPr>
          <w:sz w:val="26"/>
          <w:szCs w:val="26"/>
          <w:lang w:val="uk-UA" w:eastAsia="en-US"/>
        </w:rPr>
        <w:t>Успішний розвиток ДПП як механізму активізації інвестиційної діяльності та залучення приватних інвестицій у стратегічно важливі для держави сфери можливий лише за умови, коли буде забезпечено баланс інтересів держави і приватного інвестора. Правова форма здійснення ДПП повинна забезпечити для інвестора привабливість, безпеку вкладення коштів в державну власність і реалізувати основну мету проекту, тобто розвивати ту сферу, яка стратегічно важлива для держави. Для цього держава повинна сприймати приватного інвестора як рівноправного партнера. Вимагаючи від нього виконання передбачених угодою зобов’язань, держава має, зі свого боку, гарантувати виконання власних зобов’язань в повному обсязі.</w:t>
      </w:r>
    </w:p>
    <w:p w:rsidR="00912CD7" w:rsidRDefault="00912CD7" w:rsidP="00912CD7">
      <w:pPr>
        <w:widowControl w:val="0"/>
        <w:spacing w:line="360" w:lineRule="auto"/>
        <w:ind w:firstLine="709"/>
        <w:jc w:val="both"/>
        <w:rPr>
          <w:sz w:val="26"/>
          <w:szCs w:val="26"/>
          <w:lang w:val="uk-UA" w:eastAsia="en-US"/>
        </w:rPr>
      </w:pPr>
      <w:r>
        <w:rPr>
          <w:sz w:val="26"/>
          <w:szCs w:val="26"/>
          <w:lang w:val="uk-UA" w:eastAsia="en-US"/>
        </w:rPr>
        <w:t>Реалізація проекту передбачає удосконалення механізму ДПП, зокрема:</w:t>
      </w:r>
    </w:p>
    <w:p w:rsidR="00912CD7" w:rsidRDefault="00912CD7" w:rsidP="00912CD7">
      <w:pPr>
        <w:pStyle w:val="a5"/>
        <w:widowControl w:val="0"/>
        <w:numPr>
          <w:ilvl w:val="0"/>
          <w:numId w:val="2"/>
        </w:numPr>
        <w:spacing w:line="360" w:lineRule="auto"/>
        <w:ind w:left="0" w:firstLine="709"/>
        <w:jc w:val="both"/>
        <w:rPr>
          <w:rFonts w:eastAsia="Arial"/>
          <w:sz w:val="26"/>
          <w:szCs w:val="26"/>
          <w:lang w:val="uk-UA"/>
        </w:rPr>
      </w:pPr>
      <w:r>
        <w:rPr>
          <w:sz w:val="26"/>
          <w:szCs w:val="26"/>
          <w:lang w:val="uk-UA" w:eastAsia="en-US"/>
        </w:rPr>
        <w:t>можливість зміни нормативної бази, зокрема, внесення змін до податкового та регуляторного законодавства щодо податкових і митних пільг для реалізації проектів ДПП, гарантування компенсації збитків приватного партнера за умов невиконання державою зобов’язань за договорами ДПП, відшкодуванням різниці в тарифах, змінами вимог до якості товарів та послуг тощо;</w:t>
      </w:r>
    </w:p>
    <w:p w:rsidR="00912CD7" w:rsidRDefault="00912CD7" w:rsidP="00912CD7">
      <w:pPr>
        <w:pStyle w:val="a5"/>
        <w:widowControl w:val="0"/>
        <w:numPr>
          <w:ilvl w:val="0"/>
          <w:numId w:val="2"/>
        </w:numPr>
        <w:spacing w:line="360" w:lineRule="auto"/>
        <w:ind w:left="0" w:firstLine="709"/>
        <w:jc w:val="both"/>
        <w:rPr>
          <w:rFonts w:eastAsia="Arial"/>
          <w:sz w:val="26"/>
          <w:szCs w:val="26"/>
          <w:lang w:val="uk-UA"/>
        </w:rPr>
      </w:pPr>
      <w:r>
        <w:rPr>
          <w:rFonts w:eastAsia="Arial"/>
          <w:sz w:val="26"/>
          <w:szCs w:val="26"/>
          <w:lang w:val="uk-UA"/>
        </w:rPr>
        <w:t xml:space="preserve">забезпечення гарантії для держави, що </w:t>
      </w:r>
      <w:r>
        <w:rPr>
          <w:sz w:val="26"/>
          <w:szCs w:val="26"/>
          <w:lang w:val="uk-UA" w:eastAsia="en-US"/>
        </w:rPr>
        <w:t>приватний партнер здатний виконувати свої зобов’язання за договором та ефективно управляти наданим йому майном;</w:t>
      </w:r>
    </w:p>
    <w:p w:rsidR="00912CD7" w:rsidRDefault="00912CD7" w:rsidP="00912CD7">
      <w:pPr>
        <w:pStyle w:val="a5"/>
        <w:widowControl w:val="0"/>
        <w:numPr>
          <w:ilvl w:val="0"/>
          <w:numId w:val="2"/>
        </w:numPr>
        <w:spacing w:line="360" w:lineRule="auto"/>
        <w:ind w:left="0" w:firstLine="709"/>
        <w:jc w:val="both"/>
        <w:rPr>
          <w:rFonts w:eastAsia="Arial"/>
          <w:sz w:val="26"/>
          <w:szCs w:val="26"/>
          <w:lang w:val="uk-UA"/>
        </w:rPr>
      </w:pPr>
      <w:r>
        <w:rPr>
          <w:rFonts w:eastAsia="Arial"/>
          <w:sz w:val="26"/>
          <w:szCs w:val="26"/>
          <w:lang w:val="uk-UA"/>
        </w:rPr>
        <w:t xml:space="preserve">забезпечення гарантії для приватного партнера щодо </w:t>
      </w:r>
      <w:r>
        <w:rPr>
          <w:sz w:val="26"/>
          <w:szCs w:val="26"/>
          <w:lang w:val="uk-UA" w:eastAsia="en-US"/>
        </w:rPr>
        <w:t>виконання державою фінансових зобов’язань щодо проектів ДПП на весь термін їх реалізації;</w:t>
      </w:r>
    </w:p>
    <w:p w:rsidR="00912CD7" w:rsidRDefault="00912CD7" w:rsidP="00912CD7">
      <w:pPr>
        <w:pStyle w:val="a5"/>
        <w:widowControl w:val="0"/>
        <w:numPr>
          <w:ilvl w:val="0"/>
          <w:numId w:val="2"/>
        </w:numPr>
        <w:spacing w:line="360" w:lineRule="auto"/>
        <w:ind w:left="0" w:firstLine="709"/>
        <w:jc w:val="both"/>
        <w:rPr>
          <w:rFonts w:eastAsia="Arial"/>
          <w:sz w:val="26"/>
          <w:szCs w:val="26"/>
          <w:lang w:val="uk-UA"/>
        </w:rPr>
      </w:pPr>
      <w:r>
        <w:rPr>
          <w:sz w:val="26"/>
          <w:szCs w:val="26"/>
          <w:lang w:val="uk-UA" w:eastAsia="en-US"/>
        </w:rPr>
        <w:t>гарантії отримання приватним партнером від органів виконавчої влади або органів місцевого самоврядування дозвільних документів та погоджень, необхідних для виконання умов договору, у тому числі отримання права користуватися земельною ділянкою, необхідною для виконання умов договору.</w:t>
      </w:r>
    </w:p>
    <w:p w:rsidR="00912CD7" w:rsidRDefault="00912CD7" w:rsidP="00912CD7">
      <w:pPr>
        <w:spacing w:line="360" w:lineRule="auto"/>
        <w:ind w:firstLine="709"/>
        <w:jc w:val="both"/>
        <w:rPr>
          <w:sz w:val="26"/>
          <w:szCs w:val="26"/>
          <w:lang w:val="uk-UA" w:eastAsia="en-US"/>
        </w:rPr>
      </w:pPr>
      <w:r>
        <w:rPr>
          <w:sz w:val="26"/>
          <w:szCs w:val="26"/>
          <w:lang w:val="uk-UA" w:eastAsia="en-US"/>
        </w:rPr>
        <w:lastRenderedPageBreak/>
        <w:t>Отже, успішність проекту значною мірою залежатиме від розробленого спеціально для території реалізації проекту спрощеного механізму ДПП, що обумовлює позиціонування незабезпечення дієвості механізму ДПП як одного із найбільш значних загрозливих факторів, які не повністю знаходяться в компетенції проектної команди (зокрема, у частині внесення відповідних змін до законодавства).</w:t>
      </w:r>
    </w:p>
    <w:p w:rsidR="00912CD7" w:rsidRDefault="00912CD7" w:rsidP="00912CD7">
      <w:pPr>
        <w:spacing w:line="360" w:lineRule="auto"/>
        <w:ind w:firstLine="709"/>
        <w:jc w:val="both"/>
        <w:rPr>
          <w:color w:val="auto"/>
          <w:sz w:val="26"/>
          <w:szCs w:val="26"/>
          <w:lang w:val="uk-UA"/>
        </w:rPr>
      </w:pPr>
    </w:p>
    <w:p w:rsidR="00912CD7" w:rsidRDefault="00912CD7" w:rsidP="00912CD7">
      <w:pPr>
        <w:spacing w:line="360" w:lineRule="auto"/>
        <w:jc w:val="center"/>
        <w:rPr>
          <w:rFonts w:eastAsia="Arial"/>
          <w:i/>
          <w:sz w:val="26"/>
          <w:szCs w:val="26"/>
          <w:lang w:val="uk-UA"/>
        </w:rPr>
      </w:pPr>
      <w:r>
        <w:rPr>
          <w:rFonts w:eastAsia="Arial"/>
          <w:i/>
          <w:sz w:val="26"/>
          <w:szCs w:val="26"/>
          <w:lang w:val="uk-UA"/>
        </w:rPr>
        <w:t>Можливі перешкоди: складність залучення іноземних інвесторів до розбудови інноваційної рекреаційної інфраструктури</w:t>
      </w:r>
    </w:p>
    <w:p w:rsidR="00912CD7" w:rsidRDefault="00912CD7" w:rsidP="00912CD7">
      <w:pPr>
        <w:pStyle w:val="a5"/>
        <w:widowControl w:val="0"/>
        <w:spacing w:line="360" w:lineRule="auto"/>
        <w:ind w:left="0" w:firstLine="709"/>
        <w:jc w:val="both"/>
        <w:rPr>
          <w:sz w:val="26"/>
          <w:szCs w:val="26"/>
          <w:lang w:val="uk-UA"/>
        </w:rPr>
      </w:pPr>
      <w:r>
        <w:rPr>
          <w:sz w:val="26"/>
          <w:szCs w:val="26"/>
          <w:lang w:val="uk-UA"/>
        </w:rPr>
        <w:t>Місто будуватиметься з урахуванням сучасних вимог щодо надання туристично-рекреаційних послуг, що передбачатиме ефективність містопланування та містобудування, створення інноваційної туристичної, соціально-побутової та транспортної інфраструктури та розробку новітньої системи управління територіальним рекреаційним новоутворенням.</w:t>
      </w:r>
    </w:p>
    <w:p w:rsidR="00912CD7" w:rsidRDefault="00912CD7" w:rsidP="00912CD7">
      <w:pPr>
        <w:spacing w:line="360" w:lineRule="auto"/>
        <w:ind w:firstLine="709"/>
        <w:jc w:val="both"/>
        <w:rPr>
          <w:sz w:val="26"/>
          <w:szCs w:val="26"/>
          <w:lang w:val="uk-UA"/>
        </w:rPr>
      </w:pPr>
      <w:r>
        <w:rPr>
          <w:sz w:val="26"/>
          <w:szCs w:val="26"/>
          <w:lang w:val="uk-UA"/>
        </w:rPr>
        <w:t>Хоча на цей час повністю реалізованих аналогічних проектів не існує, оскільки світовий досвід показує, що всі рекреаційні зони створювалися на базі або у безпосередній близькості від вже існуючих населених пунктів, аналіз функціонування відомих туристично-рекреаційних утворень та масштабних проектів взагалі показує, що успішність проекту «Східний Крим» значно залежатиме від:</w:t>
      </w:r>
    </w:p>
    <w:p w:rsidR="00912CD7" w:rsidRDefault="00912CD7" w:rsidP="00912CD7">
      <w:pPr>
        <w:pStyle w:val="a5"/>
        <w:numPr>
          <w:ilvl w:val="0"/>
          <w:numId w:val="3"/>
        </w:numPr>
        <w:spacing w:line="360" w:lineRule="auto"/>
        <w:ind w:left="0" w:firstLine="709"/>
        <w:contextualSpacing/>
        <w:jc w:val="both"/>
        <w:rPr>
          <w:rFonts w:eastAsia="Arial"/>
          <w:sz w:val="26"/>
          <w:szCs w:val="26"/>
          <w:lang w:val="uk-UA"/>
        </w:rPr>
      </w:pPr>
      <w:r>
        <w:rPr>
          <w:rFonts w:eastAsia="Arial"/>
          <w:sz w:val="26"/>
          <w:szCs w:val="26"/>
          <w:lang w:val="uk-UA"/>
        </w:rPr>
        <w:t>детальної проробки концепції проекту, відповідності містопланування та містобудівних рішень заявленій меті та призначенню міста;</w:t>
      </w:r>
    </w:p>
    <w:p w:rsidR="00912CD7" w:rsidRDefault="00912CD7" w:rsidP="00912CD7">
      <w:pPr>
        <w:pStyle w:val="a5"/>
        <w:numPr>
          <w:ilvl w:val="0"/>
          <w:numId w:val="3"/>
        </w:numPr>
        <w:spacing w:line="360" w:lineRule="auto"/>
        <w:ind w:left="0" w:firstLine="709"/>
        <w:contextualSpacing/>
        <w:jc w:val="both"/>
        <w:rPr>
          <w:rFonts w:eastAsia="Arial"/>
          <w:sz w:val="26"/>
          <w:szCs w:val="26"/>
          <w:lang w:val="uk-UA"/>
        </w:rPr>
      </w:pPr>
      <w:r>
        <w:rPr>
          <w:rFonts w:eastAsia="Arial"/>
          <w:sz w:val="26"/>
          <w:szCs w:val="26"/>
          <w:lang w:val="uk-UA"/>
        </w:rPr>
        <w:t>гармонійного поєднання технологічних інновацій з наявністю відомих торгових марок, зокрема мережних готельних операторів та рестораторів;</w:t>
      </w:r>
    </w:p>
    <w:p w:rsidR="00912CD7" w:rsidRDefault="00912CD7" w:rsidP="00912CD7">
      <w:pPr>
        <w:pStyle w:val="a5"/>
        <w:numPr>
          <w:ilvl w:val="0"/>
          <w:numId w:val="3"/>
        </w:numPr>
        <w:spacing w:line="360" w:lineRule="auto"/>
        <w:ind w:left="0" w:firstLine="709"/>
        <w:contextualSpacing/>
        <w:jc w:val="both"/>
        <w:rPr>
          <w:rFonts w:eastAsia="Arial"/>
          <w:sz w:val="26"/>
          <w:szCs w:val="26"/>
          <w:lang w:val="uk-UA"/>
        </w:rPr>
      </w:pPr>
      <w:r>
        <w:rPr>
          <w:rFonts w:eastAsia="Calibri"/>
          <w:sz w:val="26"/>
          <w:szCs w:val="26"/>
          <w:lang w:val="uk-UA"/>
        </w:rPr>
        <w:t>повного фінансування створення інноваційної інфраструктури, зокрема, наявності достатньої кількості приватних інвесторів для реалізації локальних інвестиційних проектів на підготовленому інвестиційному майданчику;</w:t>
      </w:r>
    </w:p>
    <w:p w:rsidR="00912CD7" w:rsidRDefault="00912CD7" w:rsidP="00912CD7">
      <w:pPr>
        <w:pStyle w:val="a5"/>
        <w:widowControl w:val="0"/>
        <w:numPr>
          <w:ilvl w:val="0"/>
          <w:numId w:val="3"/>
        </w:numPr>
        <w:spacing w:line="360" w:lineRule="auto"/>
        <w:ind w:left="0" w:firstLine="709"/>
        <w:contextualSpacing/>
        <w:jc w:val="both"/>
        <w:rPr>
          <w:sz w:val="26"/>
          <w:szCs w:val="26"/>
          <w:lang w:val="uk-UA"/>
        </w:rPr>
      </w:pPr>
      <w:r>
        <w:rPr>
          <w:sz w:val="26"/>
          <w:szCs w:val="26"/>
          <w:lang w:val="uk-UA"/>
        </w:rPr>
        <w:t>поєднання технологічних і соціальних інновацій, соціальної підготовки та соціальної адаптації населення, реклами та масштабної компанії щодо створення сприятливої для проекту суспільної думки.</w:t>
      </w:r>
    </w:p>
    <w:p w:rsidR="00912CD7" w:rsidRDefault="00912CD7" w:rsidP="00912CD7">
      <w:pPr>
        <w:pStyle w:val="a4"/>
        <w:spacing w:line="360" w:lineRule="auto"/>
        <w:ind w:firstLine="709"/>
        <w:jc w:val="both"/>
        <w:rPr>
          <w:rFonts w:ascii="Times New Roman" w:hAnsi="Times New Roman"/>
          <w:sz w:val="26"/>
          <w:szCs w:val="26"/>
        </w:rPr>
      </w:pPr>
      <w:r>
        <w:rPr>
          <w:rFonts w:ascii="Times New Roman" w:hAnsi="Times New Roman"/>
          <w:sz w:val="26"/>
          <w:szCs w:val="26"/>
        </w:rPr>
        <w:t xml:space="preserve">Отже, проектування та створення територіально-рекреаційного утворення, передбаченого проектом «Східний Крим», не може бути реалізовано виключно за </w:t>
      </w:r>
      <w:r>
        <w:rPr>
          <w:rFonts w:ascii="Times New Roman" w:hAnsi="Times New Roman"/>
          <w:sz w:val="26"/>
          <w:szCs w:val="26"/>
        </w:rPr>
        <w:lastRenderedPageBreak/>
        <w:t>рахунок діяльності вітчизняних компаній та установ, оскільки потребує таких технологічних та соціальних інновацій, які ще не застосовувалися в Україні і, відповідно, українські фахівці не мають досвіду їх розробки та впровадження. Крім того, по-перше, для створення привабливого для іноземних туристів середовища необхідна присутність на території проекту відомих іноземних мережних готельних операторів та рестораторів; і по-друге, реалізація настільки масштабного проекту потребує значного обсягу фінансування та участі приватних інвесторів в локальних високобюджетних проектах. Вищевикладене свідчить про необхідність участі іноземних інвесторів в розбудові інфраструктури створюваного міста.</w:t>
      </w:r>
    </w:p>
    <w:p w:rsidR="00912CD7" w:rsidRDefault="00912CD7" w:rsidP="00912CD7">
      <w:pPr>
        <w:pStyle w:val="a4"/>
        <w:spacing w:line="360" w:lineRule="auto"/>
        <w:ind w:firstLine="709"/>
        <w:jc w:val="both"/>
        <w:rPr>
          <w:rFonts w:ascii="Times New Roman" w:hAnsi="Times New Roman"/>
          <w:sz w:val="26"/>
          <w:szCs w:val="26"/>
        </w:rPr>
      </w:pPr>
      <w:r>
        <w:rPr>
          <w:rFonts w:ascii="Times New Roman" w:hAnsi="Times New Roman"/>
          <w:sz w:val="26"/>
          <w:szCs w:val="26"/>
        </w:rPr>
        <w:t>Інвестиційна діяльність іноземних компаній в Україні регулюється, передусім, Законом України «Про режим іноземного інвестування», за яким в країні встановлюється досить сприятливий клімат для іноземних інвестицій та основні положення якого такі:</w:t>
      </w:r>
    </w:p>
    <w:p w:rsidR="00912CD7" w:rsidRDefault="00912CD7" w:rsidP="00912CD7">
      <w:pPr>
        <w:pStyle w:val="a4"/>
        <w:numPr>
          <w:ilvl w:val="0"/>
          <w:numId w:val="3"/>
        </w:numPr>
        <w:spacing w:line="360" w:lineRule="auto"/>
        <w:ind w:left="0" w:firstLine="709"/>
        <w:jc w:val="both"/>
        <w:rPr>
          <w:rFonts w:ascii="Times New Roman" w:hAnsi="Times New Roman"/>
          <w:sz w:val="26"/>
          <w:szCs w:val="26"/>
        </w:rPr>
      </w:pPr>
      <w:r>
        <w:rPr>
          <w:rFonts w:ascii="Times New Roman" w:hAnsi="Times New Roman"/>
          <w:color w:val="000000"/>
          <w:sz w:val="26"/>
          <w:szCs w:val="26"/>
        </w:rPr>
        <w:t>для іноземних інвесторів на території України встановлюється національний режим інвестиційної та іншої господарської діяльності, за винятками, передбаченими законодавством України та міжнародними договорами України;</w:t>
      </w:r>
    </w:p>
    <w:p w:rsidR="00912CD7" w:rsidRDefault="00912CD7" w:rsidP="00912CD7">
      <w:pPr>
        <w:pStyle w:val="a4"/>
        <w:numPr>
          <w:ilvl w:val="0"/>
          <w:numId w:val="3"/>
        </w:numPr>
        <w:spacing w:line="360" w:lineRule="auto"/>
        <w:ind w:left="0" w:firstLine="709"/>
        <w:jc w:val="both"/>
        <w:rPr>
          <w:rFonts w:ascii="Times New Roman" w:hAnsi="Times New Roman"/>
          <w:sz w:val="26"/>
          <w:szCs w:val="26"/>
        </w:rPr>
      </w:pPr>
      <w:r>
        <w:rPr>
          <w:rFonts w:ascii="Times New Roman" w:hAnsi="Times New Roman"/>
          <w:color w:val="000000"/>
          <w:sz w:val="26"/>
          <w:szCs w:val="26"/>
        </w:rPr>
        <w:t>для окремих суб'єктів підприємницької діяльності, які здійснюють інвестиційні проекти із залученням іноземних інвестицій, що реалізуються відповідно до державних програм розвитку пріоритетних галузей економіки, соціальної сфери і територій, може встановлюватися пільговий режим інвестиційної та іншої господарської діяльності;</w:t>
      </w:r>
    </w:p>
    <w:p w:rsidR="00912CD7" w:rsidRDefault="00912CD7" w:rsidP="00912CD7">
      <w:pPr>
        <w:pStyle w:val="a4"/>
        <w:numPr>
          <w:ilvl w:val="0"/>
          <w:numId w:val="3"/>
        </w:numPr>
        <w:spacing w:line="360" w:lineRule="auto"/>
        <w:ind w:left="0" w:firstLine="709"/>
        <w:jc w:val="both"/>
        <w:rPr>
          <w:rFonts w:ascii="Times New Roman" w:hAnsi="Times New Roman"/>
          <w:sz w:val="26"/>
          <w:szCs w:val="26"/>
        </w:rPr>
      </w:pPr>
      <w:r>
        <w:rPr>
          <w:rFonts w:ascii="Times New Roman" w:hAnsi="Times New Roman"/>
          <w:color w:val="000000"/>
          <w:sz w:val="26"/>
          <w:szCs w:val="26"/>
        </w:rPr>
        <w:t>специфіка регулювання іноземних інвестицій у спеціальних(вільних) економічних зонах установлюється законодавством України про спеціальні (вільні) економічні зони; правовий режим іноземних інвестицій, що встановлюється у спеціальних (вільних) економічних зонах, не може створювати умови інвестування та здійснення господарської діяльності менш сприятливі, ніж встановлені цим Законом.</w:t>
      </w:r>
    </w:p>
    <w:p w:rsidR="00912CD7" w:rsidRDefault="00912CD7" w:rsidP="00912CD7">
      <w:pPr>
        <w:pStyle w:val="HTML"/>
        <w:shd w:val="clear" w:color="auto" w:fill="FFFFFF"/>
        <w:spacing w:line="360" w:lineRule="auto"/>
        <w:ind w:firstLine="919"/>
        <w:jc w:val="both"/>
        <w:textAlignment w:val="baseline"/>
        <w:rPr>
          <w:rFonts w:ascii="Times New Roman" w:hAnsi="Times New Roman" w:cs="Times New Roman"/>
          <w:color w:val="000000"/>
          <w:sz w:val="26"/>
          <w:szCs w:val="26"/>
          <w:lang w:val="uk-UA"/>
        </w:rPr>
      </w:pPr>
      <w:bookmarkStart w:id="1" w:name="o54"/>
      <w:bookmarkEnd w:id="1"/>
      <w:r>
        <w:rPr>
          <w:rFonts w:ascii="Times New Roman" w:hAnsi="Times New Roman" w:cs="Times New Roman"/>
          <w:color w:val="000000"/>
          <w:sz w:val="26"/>
          <w:szCs w:val="26"/>
          <w:lang w:val="uk-UA"/>
        </w:rPr>
        <w:t>При цьому зазначається, що:</w:t>
      </w:r>
    </w:p>
    <w:p w:rsidR="00912CD7" w:rsidRDefault="00912CD7" w:rsidP="00912CD7">
      <w:pPr>
        <w:pStyle w:val="HTML"/>
        <w:numPr>
          <w:ilvl w:val="0"/>
          <w:numId w:val="3"/>
        </w:numPr>
        <w:shd w:val="clear" w:color="auto" w:fill="FFFFFF"/>
        <w:spacing w:line="360" w:lineRule="auto"/>
        <w:ind w:left="0" w:firstLine="709"/>
        <w:jc w:val="both"/>
        <w:textAlignment w:val="baseline"/>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якщо в подальшому спеціальним законодавством України про іноземні інвестиції будуть змінюватися гарантії захисту іноземних інвестицій, то протягом десяти років з дня набрання чинності таким законодавством на вимогу іноземного інвестора застосовуються державні гарантії захисту іноземних інвестицій;</w:t>
      </w:r>
    </w:p>
    <w:p w:rsidR="00912CD7" w:rsidRDefault="00912CD7" w:rsidP="00912CD7">
      <w:pPr>
        <w:pStyle w:val="HTML"/>
        <w:numPr>
          <w:ilvl w:val="0"/>
          <w:numId w:val="3"/>
        </w:numPr>
        <w:shd w:val="clear" w:color="auto" w:fill="FFFFFF"/>
        <w:spacing w:line="360" w:lineRule="auto"/>
        <w:ind w:left="0" w:firstLine="709"/>
        <w:jc w:val="both"/>
        <w:textAlignment w:val="baseline"/>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lastRenderedPageBreak/>
        <w:t>до прав і обов'язків сторін, визначених угодою про розподіл продукції, протягом строку її дії застосовується законодавство України, чинне на момент її укладення;зазначені гарантії не поширюються на зміни законодавства, що стосуються питань оборони, національної безпеки, забезпечення громадського порядку, охорони довкілля;</w:t>
      </w:r>
    </w:p>
    <w:p w:rsidR="00912CD7" w:rsidRDefault="00912CD7" w:rsidP="00912CD7">
      <w:pPr>
        <w:pStyle w:val="HTML"/>
        <w:numPr>
          <w:ilvl w:val="0"/>
          <w:numId w:val="3"/>
        </w:numPr>
        <w:shd w:val="clear" w:color="auto" w:fill="FFFFFF"/>
        <w:spacing w:line="360" w:lineRule="auto"/>
        <w:ind w:left="0" w:firstLine="709"/>
        <w:jc w:val="both"/>
        <w:textAlignment w:val="baseline"/>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іноземні інвестиції в Україні не підлягають націоналізації; державні органи не мають права реквізувати іноземні інвестиції, за винятком випадків здійснення рятівних заходів у разі стихійного лиха, аварій, епідемій, епізоотій;</w:t>
      </w:r>
    </w:p>
    <w:p w:rsidR="00912CD7" w:rsidRDefault="00912CD7" w:rsidP="00912CD7">
      <w:pPr>
        <w:pStyle w:val="HTML"/>
        <w:numPr>
          <w:ilvl w:val="0"/>
          <w:numId w:val="3"/>
        </w:numPr>
        <w:shd w:val="clear" w:color="auto" w:fill="FFFFFF"/>
        <w:spacing w:line="360" w:lineRule="auto"/>
        <w:ind w:left="0" w:firstLine="709"/>
        <w:jc w:val="both"/>
        <w:textAlignment w:val="baseline"/>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іноземні інвестори мають право на відшкодування збитків,включаючи упущену вигоду і моральну шкоду, завданих їм внаслідок дій, бездіяльності або неналежного виконання державними органами України чи їх посадовими особами передбачених законодавством обов'язків щодо іноземного інвестора або підприємства з іноземними інвестиціями, відповідно до законодавства України;</w:t>
      </w:r>
    </w:p>
    <w:p w:rsidR="00912CD7" w:rsidRDefault="00912CD7" w:rsidP="00912CD7">
      <w:pPr>
        <w:pStyle w:val="HTML"/>
        <w:numPr>
          <w:ilvl w:val="0"/>
          <w:numId w:val="3"/>
        </w:numPr>
        <w:shd w:val="clear" w:color="auto" w:fill="FFFFFF"/>
        <w:spacing w:line="360" w:lineRule="auto"/>
        <w:ind w:left="0" w:firstLine="709"/>
        <w:jc w:val="both"/>
        <w:textAlignment w:val="baseline"/>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усі понесені витрати та збитки іноземних інвесторів, завдані їм внаслідок цих дій,повинні бути відшкодовані на основі поточних ринкових цін та/або обґрунтованої оцінки, підтверджених аудитором чи аудиторською фірмою;</w:t>
      </w:r>
    </w:p>
    <w:p w:rsidR="00912CD7" w:rsidRDefault="00912CD7" w:rsidP="00912CD7">
      <w:pPr>
        <w:pStyle w:val="HTML"/>
        <w:numPr>
          <w:ilvl w:val="0"/>
          <w:numId w:val="3"/>
        </w:numPr>
        <w:shd w:val="clear" w:color="auto" w:fill="FFFFFF"/>
        <w:spacing w:line="360" w:lineRule="auto"/>
        <w:ind w:left="0" w:firstLine="709"/>
        <w:jc w:val="both"/>
        <w:textAlignment w:val="baseline"/>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іноземним інвесторам після сплати податків, зборів та інших обов'язкових платежів гарантується безперешкодний і негайний переказ за кордон їх прибутків, доходів та інших коштів в іноземній валюті, одержаних на законних підставах внаслідок здійснення іноземних інвестицій;</w:t>
      </w:r>
    </w:p>
    <w:p w:rsidR="00912CD7" w:rsidRDefault="00912CD7" w:rsidP="00912CD7">
      <w:pPr>
        <w:pStyle w:val="HTML"/>
        <w:numPr>
          <w:ilvl w:val="0"/>
          <w:numId w:val="3"/>
        </w:numPr>
        <w:shd w:val="clear" w:color="auto" w:fill="FFFFFF"/>
        <w:spacing w:line="360" w:lineRule="auto"/>
        <w:ind w:left="0" w:firstLine="709"/>
        <w:jc w:val="both"/>
        <w:textAlignment w:val="baseline"/>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охорона та здійснення прав інтелектуальної власності підприємств з іноземними інвестиціями забезпечуються відповідно до законодавства України; підприємства з іноземними інвестиціями самостійно приймають рішення про патентування (реєстрацію) закордоном винаходів, промислових зразків, товарних знаків та інших об'єктів інтелектуальної власності, які їм належать, відповідно до законодавства України.</w:t>
      </w:r>
    </w:p>
    <w:p w:rsidR="00912CD7" w:rsidRDefault="00912CD7" w:rsidP="00912CD7">
      <w:pPr>
        <w:pStyle w:val="a3"/>
        <w:shd w:val="clear" w:color="auto" w:fill="FFFFFF"/>
        <w:tabs>
          <w:tab w:val="left" w:pos="708"/>
        </w:tabs>
        <w:spacing w:before="0" w:beforeAutospacing="0" w:after="0" w:afterAutospacing="0" w:line="360" w:lineRule="auto"/>
        <w:ind w:firstLine="709"/>
        <w:jc w:val="both"/>
        <w:rPr>
          <w:sz w:val="26"/>
          <w:szCs w:val="26"/>
          <w:lang w:val="uk-UA"/>
        </w:rPr>
      </w:pPr>
      <w:r>
        <w:rPr>
          <w:sz w:val="26"/>
          <w:szCs w:val="26"/>
          <w:lang w:val="uk-UA"/>
        </w:rPr>
        <w:t xml:space="preserve">Проте слід зазначити, що на цей час місце України у рейтингах конкурентоспроможності та інвестиційної привабливості країн світу є невисоким. Так, за у глобальному рейтингу конкурентоспроможності 2013 року (швейцарська дослідницька група IMD) Україна посідає </w:t>
      </w:r>
      <w:r>
        <w:rPr>
          <w:rStyle w:val="a6"/>
          <w:b w:val="0"/>
          <w:sz w:val="26"/>
          <w:szCs w:val="26"/>
          <w:lang w:val="uk-UA"/>
        </w:rPr>
        <w:t>49-е місце з 60</w:t>
      </w:r>
      <w:r>
        <w:rPr>
          <w:sz w:val="26"/>
          <w:szCs w:val="26"/>
          <w:lang w:val="uk-UA"/>
        </w:rPr>
        <w:t xml:space="preserve">, розмістившись між </w:t>
      </w:r>
      <w:r>
        <w:rPr>
          <w:rStyle w:val="a6"/>
          <w:b w:val="0"/>
          <w:sz w:val="26"/>
          <w:szCs w:val="26"/>
          <w:lang w:val="uk-UA"/>
        </w:rPr>
        <w:t>Колумбією</w:t>
      </w:r>
      <w:r>
        <w:rPr>
          <w:rStyle w:val="a6"/>
          <w:sz w:val="26"/>
          <w:szCs w:val="26"/>
          <w:lang w:val="uk-UA"/>
        </w:rPr>
        <w:t xml:space="preserve"> </w:t>
      </w:r>
      <w:r>
        <w:rPr>
          <w:sz w:val="26"/>
          <w:szCs w:val="26"/>
          <w:lang w:val="uk-UA"/>
        </w:rPr>
        <w:t xml:space="preserve">та </w:t>
      </w:r>
      <w:hyperlink r:id="rId6" w:history="1">
        <w:r>
          <w:rPr>
            <w:rStyle w:val="a6"/>
            <w:b w:val="0"/>
            <w:sz w:val="26"/>
            <w:szCs w:val="26"/>
            <w:lang w:val="uk-UA"/>
          </w:rPr>
          <w:t>Угорщиною</w:t>
        </w:r>
      </w:hyperlink>
      <w:r>
        <w:rPr>
          <w:sz w:val="26"/>
          <w:szCs w:val="26"/>
          <w:lang w:val="uk-UA"/>
        </w:rPr>
        <w:t xml:space="preserve">; у рейтингу конкурентоспроможності країн світу за версією Всесвітнього економічного форуму (WEF) Україна посіла73 місце; Україна </w:t>
      </w:r>
      <w:r>
        <w:rPr>
          <w:sz w:val="26"/>
          <w:szCs w:val="26"/>
          <w:lang w:val="uk-UA"/>
        </w:rPr>
        <w:lastRenderedPageBreak/>
        <w:t>зайняла 78-е місце в рейтингу Програми розвитку Організації Об'єднаних Націй «Людський розвиток-2013», який відображає економічне зростання і соціальні зміни в усіх країнах світу;</w:t>
      </w:r>
      <w:r>
        <w:rPr>
          <w:sz w:val="26"/>
          <w:szCs w:val="26"/>
          <w:shd w:val="clear" w:color="auto" w:fill="FFFFFF"/>
          <w:lang w:val="uk-UA"/>
        </w:rPr>
        <w:t xml:space="preserve"> Україна зайняла 144-е місце із </w:t>
      </w:r>
      <w:r>
        <w:rPr>
          <w:sz w:val="26"/>
          <w:szCs w:val="26"/>
          <w:lang w:val="uk-UA"/>
        </w:rPr>
        <w:t xml:space="preserve">176 </w:t>
      </w:r>
      <w:r>
        <w:rPr>
          <w:sz w:val="26"/>
          <w:szCs w:val="26"/>
          <w:shd w:val="clear" w:color="auto" w:fill="FFFFFF"/>
          <w:lang w:val="uk-UA"/>
        </w:rPr>
        <w:t xml:space="preserve">за індексом корупції, розрахованим глобальною антикорупційною неурядовою організацією </w:t>
      </w:r>
      <w:r>
        <w:rPr>
          <w:sz w:val="26"/>
          <w:szCs w:val="26"/>
          <w:shd w:val="clear" w:color="auto" w:fill="FFFFFF"/>
          <w:lang w:val="en-US"/>
        </w:rPr>
        <w:t>Transparency International</w:t>
      </w:r>
      <w:r>
        <w:rPr>
          <w:sz w:val="26"/>
          <w:szCs w:val="26"/>
          <w:shd w:val="clear" w:color="auto" w:fill="FFFFFF"/>
          <w:lang w:val="uk-UA"/>
        </w:rPr>
        <w:t xml:space="preserve"> за 2012рік</w:t>
      </w:r>
      <w:r>
        <w:rPr>
          <w:sz w:val="26"/>
          <w:szCs w:val="26"/>
          <w:lang w:val="uk-UA"/>
        </w:rPr>
        <w:t>.</w:t>
      </w:r>
    </w:p>
    <w:p w:rsidR="00912CD7" w:rsidRDefault="00912CD7" w:rsidP="00912CD7">
      <w:pPr>
        <w:pStyle w:val="a3"/>
        <w:shd w:val="clear" w:color="auto" w:fill="FFFFFF"/>
        <w:tabs>
          <w:tab w:val="left" w:pos="708"/>
        </w:tabs>
        <w:spacing w:before="0" w:beforeAutospacing="0" w:after="0" w:afterAutospacing="0" w:line="360" w:lineRule="auto"/>
        <w:ind w:firstLine="709"/>
        <w:jc w:val="both"/>
        <w:rPr>
          <w:rFonts w:eastAsia="Arial"/>
          <w:sz w:val="26"/>
          <w:szCs w:val="26"/>
          <w:lang w:val="uk-UA"/>
        </w:rPr>
      </w:pPr>
      <w:r>
        <w:rPr>
          <w:sz w:val="26"/>
          <w:szCs w:val="26"/>
          <w:lang w:val="uk-UA"/>
        </w:rPr>
        <w:t xml:space="preserve">Отже, імідж України для іноземних інвесторів на цей час є не дуже привабливим, тому </w:t>
      </w:r>
      <w:r>
        <w:rPr>
          <w:rFonts w:eastAsia="Arial"/>
          <w:sz w:val="26"/>
          <w:szCs w:val="26"/>
          <w:lang w:val="uk-UA"/>
        </w:rPr>
        <w:t>встановлення партнерських відносин з відомими іноземними компаніями відноситься до одного із найбільш загрозливих факторів зовнішнього середовища проекту, які не повністю знаходяться у межах компетенції проектної команди.</w:t>
      </w:r>
    </w:p>
    <w:p w:rsidR="00912CD7" w:rsidRDefault="00912CD7" w:rsidP="00912CD7">
      <w:pPr>
        <w:pStyle w:val="a3"/>
        <w:shd w:val="clear" w:color="auto" w:fill="FFFFFF"/>
        <w:tabs>
          <w:tab w:val="left" w:pos="708"/>
        </w:tabs>
        <w:spacing w:before="0" w:beforeAutospacing="0" w:after="0" w:afterAutospacing="0" w:line="360" w:lineRule="auto"/>
        <w:ind w:firstLine="709"/>
        <w:jc w:val="both"/>
        <w:rPr>
          <w:sz w:val="26"/>
          <w:szCs w:val="26"/>
          <w:lang w:val="uk-UA"/>
        </w:rPr>
      </w:pPr>
    </w:p>
    <w:p w:rsidR="00912CD7" w:rsidRDefault="00912CD7" w:rsidP="00912CD7">
      <w:pPr>
        <w:tabs>
          <w:tab w:val="left" w:pos="708"/>
        </w:tabs>
        <w:spacing w:line="360" w:lineRule="auto"/>
        <w:jc w:val="center"/>
        <w:rPr>
          <w:i/>
          <w:color w:val="auto"/>
          <w:sz w:val="26"/>
          <w:szCs w:val="26"/>
          <w:lang w:val="uk-UA"/>
        </w:rPr>
      </w:pPr>
      <w:r>
        <w:rPr>
          <w:i/>
          <w:color w:val="auto"/>
          <w:sz w:val="26"/>
          <w:szCs w:val="26"/>
          <w:lang w:val="uk-UA"/>
        </w:rPr>
        <w:t>Основні ризики проекту</w:t>
      </w:r>
    </w:p>
    <w:p w:rsidR="00912CD7" w:rsidRDefault="00912CD7" w:rsidP="00912CD7">
      <w:pPr>
        <w:tabs>
          <w:tab w:val="left" w:pos="708"/>
        </w:tabs>
        <w:spacing w:line="360" w:lineRule="auto"/>
        <w:ind w:firstLine="709"/>
        <w:jc w:val="both"/>
        <w:rPr>
          <w:color w:val="auto"/>
          <w:sz w:val="26"/>
          <w:szCs w:val="26"/>
          <w:lang w:val="uk-UA"/>
        </w:rPr>
      </w:pPr>
      <w:r>
        <w:rPr>
          <w:color w:val="auto"/>
          <w:sz w:val="26"/>
          <w:szCs w:val="26"/>
          <w:lang w:val="uk-UA"/>
        </w:rPr>
        <w:t>Також ризиками для створення та розвитку туристично-рекреаційної інфраструктури за проектом «</w:t>
      </w:r>
      <w:r>
        <w:rPr>
          <w:sz w:val="26"/>
          <w:szCs w:val="26"/>
          <w:lang w:val="uk-UA"/>
        </w:rPr>
        <w:t>Східний Крим</w:t>
      </w:r>
      <w:r>
        <w:rPr>
          <w:color w:val="auto"/>
          <w:sz w:val="26"/>
          <w:szCs w:val="26"/>
          <w:lang w:val="uk-UA"/>
        </w:rPr>
        <w:t>» можуть стати наступні групи факторів:</w:t>
      </w:r>
    </w:p>
    <w:p w:rsidR="00912CD7" w:rsidRDefault="00912CD7" w:rsidP="00912CD7">
      <w:pPr>
        <w:numPr>
          <w:ilvl w:val="0"/>
          <w:numId w:val="4"/>
        </w:numPr>
        <w:spacing w:line="360" w:lineRule="auto"/>
        <w:ind w:hanging="720"/>
        <w:jc w:val="both"/>
        <w:rPr>
          <w:color w:val="auto"/>
          <w:sz w:val="26"/>
          <w:szCs w:val="26"/>
          <w:lang w:val="uk-UA"/>
        </w:rPr>
      </w:pPr>
      <w:r>
        <w:rPr>
          <w:i/>
          <w:color w:val="auto"/>
          <w:sz w:val="26"/>
          <w:szCs w:val="26"/>
          <w:lang w:val="uk-UA"/>
        </w:rPr>
        <w:t>політичні</w:t>
      </w:r>
      <w:r>
        <w:rPr>
          <w:color w:val="auto"/>
          <w:sz w:val="26"/>
          <w:szCs w:val="26"/>
          <w:lang w:val="uk-UA"/>
        </w:rPr>
        <w:t>:</w:t>
      </w:r>
    </w:p>
    <w:p w:rsidR="00912CD7" w:rsidRDefault="00912CD7" w:rsidP="00912CD7">
      <w:pPr>
        <w:numPr>
          <w:ilvl w:val="0"/>
          <w:numId w:val="4"/>
        </w:numPr>
        <w:spacing w:line="360" w:lineRule="auto"/>
        <w:ind w:left="1418" w:firstLine="0"/>
        <w:jc w:val="both"/>
        <w:rPr>
          <w:color w:val="auto"/>
          <w:sz w:val="26"/>
          <w:szCs w:val="26"/>
          <w:lang w:val="uk-UA"/>
        </w:rPr>
      </w:pPr>
      <w:r>
        <w:rPr>
          <w:i/>
          <w:color w:val="auto"/>
          <w:sz w:val="26"/>
          <w:szCs w:val="26"/>
          <w:lang w:val="uk-UA"/>
        </w:rPr>
        <w:t>активізація злочинної та кримінальної діяльності в регіоні</w:t>
      </w:r>
      <w:r>
        <w:rPr>
          <w:color w:val="auto"/>
          <w:sz w:val="26"/>
          <w:szCs w:val="26"/>
          <w:lang w:val="uk-UA"/>
        </w:rPr>
        <w:t>, навіть при умові створення міста-курорту, курорт не зможе забезпечити найвищу привабливість за відсутності повної безпеки туристів, рекреантів, відпочиваючих;</w:t>
      </w:r>
    </w:p>
    <w:p w:rsidR="00912CD7" w:rsidRDefault="00912CD7" w:rsidP="00912CD7">
      <w:pPr>
        <w:numPr>
          <w:ilvl w:val="0"/>
          <w:numId w:val="4"/>
        </w:numPr>
        <w:spacing w:line="360" w:lineRule="auto"/>
        <w:ind w:left="1418" w:firstLine="0"/>
        <w:jc w:val="both"/>
        <w:rPr>
          <w:color w:val="auto"/>
          <w:sz w:val="26"/>
          <w:szCs w:val="26"/>
          <w:lang w:val="uk-UA"/>
        </w:rPr>
      </w:pPr>
      <w:r>
        <w:rPr>
          <w:i/>
          <w:color w:val="auto"/>
          <w:sz w:val="26"/>
          <w:szCs w:val="26"/>
          <w:lang w:val="uk-UA"/>
        </w:rPr>
        <w:t>нестабільність і непрозорість діяльності та корумпованість органів місцевої влади</w:t>
      </w:r>
      <w:r>
        <w:rPr>
          <w:color w:val="auto"/>
          <w:sz w:val="26"/>
          <w:szCs w:val="26"/>
          <w:lang w:val="uk-UA"/>
        </w:rPr>
        <w:t xml:space="preserve"> – розвиток інфраструктури за рахунок приватних інвестицій, особливо іноземний, буде затруджений по причині високого ризику неповернення інвестиційних коштів;</w:t>
      </w:r>
    </w:p>
    <w:p w:rsidR="00912CD7" w:rsidRDefault="00912CD7" w:rsidP="00912CD7">
      <w:pPr>
        <w:numPr>
          <w:ilvl w:val="0"/>
          <w:numId w:val="4"/>
        </w:numPr>
        <w:spacing w:line="360" w:lineRule="auto"/>
        <w:ind w:left="1418" w:firstLine="0"/>
        <w:jc w:val="both"/>
        <w:rPr>
          <w:color w:val="auto"/>
          <w:sz w:val="26"/>
          <w:szCs w:val="26"/>
          <w:lang w:val="uk-UA"/>
        </w:rPr>
      </w:pPr>
      <w:r>
        <w:rPr>
          <w:i/>
          <w:color w:val="auto"/>
          <w:sz w:val="26"/>
          <w:szCs w:val="26"/>
          <w:lang w:val="uk-UA"/>
        </w:rPr>
        <w:t xml:space="preserve">законодавче блокування деяких видів діяльності </w:t>
      </w:r>
      <w:r>
        <w:rPr>
          <w:color w:val="auto"/>
          <w:sz w:val="26"/>
          <w:szCs w:val="26"/>
          <w:lang w:val="uk-UA"/>
        </w:rPr>
        <w:t xml:space="preserve">– курортна привабливість території забезпечується наявністю розваг, особливо розваг для дорослого населення; одним із дуже привабливих є гральний бізнес (казино, ігрові автомати, рулетки та ін.), які на законодавчому рівні заборонено в Україні Законом України «Про заборону грального бізнесу в Україні» (від 15.05.2009 № </w:t>
      </w:r>
      <w:r>
        <w:rPr>
          <w:bCs/>
          <w:color w:val="auto"/>
          <w:sz w:val="26"/>
          <w:szCs w:val="26"/>
          <w:lang w:val="uk-UA"/>
        </w:rPr>
        <w:t>1334-</w:t>
      </w:r>
      <w:r>
        <w:rPr>
          <w:bCs/>
          <w:color w:val="auto"/>
          <w:sz w:val="26"/>
          <w:szCs w:val="26"/>
        </w:rPr>
        <w:t>VI</w:t>
      </w:r>
      <w:r>
        <w:rPr>
          <w:bCs/>
          <w:color w:val="auto"/>
          <w:sz w:val="26"/>
          <w:szCs w:val="26"/>
          <w:lang w:val="uk-UA"/>
        </w:rPr>
        <w:t>)</w:t>
      </w:r>
      <w:r>
        <w:rPr>
          <w:color w:val="auto"/>
          <w:sz w:val="26"/>
          <w:szCs w:val="26"/>
          <w:lang w:val="uk-UA"/>
        </w:rPr>
        <w:t>, що унеможливлює реалізацію проектів грального бізнесу та розширення індустрії розваг створюваного міста;</w:t>
      </w:r>
    </w:p>
    <w:p w:rsidR="00912CD7" w:rsidRDefault="00912CD7" w:rsidP="00912CD7">
      <w:pPr>
        <w:numPr>
          <w:ilvl w:val="0"/>
          <w:numId w:val="4"/>
        </w:numPr>
        <w:spacing w:line="360" w:lineRule="auto"/>
        <w:ind w:hanging="720"/>
        <w:jc w:val="both"/>
        <w:rPr>
          <w:i/>
          <w:color w:val="auto"/>
          <w:sz w:val="26"/>
          <w:szCs w:val="26"/>
          <w:lang w:val="uk-UA"/>
        </w:rPr>
      </w:pPr>
      <w:r>
        <w:rPr>
          <w:i/>
          <w:color w:val="auto"/>
          <w:sz w:val="26"/>
          <w:szCs w:val="26"/>
          <w:lang w:val="uk-UA"/>
        </w:rPr>
        <w:lastRenderedPageBreak/>
        <w:t>економічні:</w:t>
      </w:r>
    </w:p>
    <w:p w:rsidR="00912CD7" w:rsidRDefault="00912CD7" w:rsidP="00912CD7">
      <w:pPr>
        <w:numPr>
          <w:ilvl w:val="0"/>
          <w:numId w:val="4"/>
        </w:numPr>
        <w:spacing w:line="360" w:lineRule="auto"/>
        <w:ind w:left="1418" w:firstLine="0"/>
        <w:jc w:val="both"/>
        <w:rPr>
          <w:color w:val="auto"/>
          <w:sz w:val="26"/>
          <w:szCs w:val="26"/>
          <w:lang w:val="uk-UA"/>
        </w:rPr>
      </w:pPr>
      <w:r>
        <w:rPr>
          <w:i/>
          <w:color w:val="auto"/>
          <w:sz w:val="26"/>
          <w:szCs w:val="26"/>
          <w:lang w:val="uk-UA"/>
        </w:rPr>
        <w:t>погіршення інвестиційного клімату в регіоні</w:t>
      </w:r>
      <w:r>
        <w:rPr>
          <w:color w:val="auto"/>
          <w:sz w:val="26"/>
          <w:szCs w:val="26"/>
          <w:lang w:val="uk-UA"/>
        </w:rPr>
        <w:t xml:space="preserve"> – унеможливлює розвиток інфраструктури міста курорту за рахунок приватних інвестицій;</w:t>
      </w:r>
    </w:p>
    <w:p w:rsidR="00912CD7" w:rsidRDefault="00912CD7" w:rsidP="00912CD7">
      <w:pPr>
        <w:numPr>
          <w:ilvl w:val="0"/>
          <w:numId w:val="4"/>
        </w:numPr>
        <w:spacing w:line="360" w:lineRule="auto"/>
        <w:ind w:left="1418" w:firstLine="0"/>
        <w:jc w:val="both"/>
        <w:rPr>
          <w:color w:val="auto"/>
          <w:sz w:val="26"/>
          <w:szCs w:val="26"/>
          <w:lang w:val="uk-UA"/>
        </w:rPr>
      </w:pPr>
      <w:r>
        <w:rPr>
          <w:i/>
          <w:color w:val="auto"/>
          <w:sz w:val="26"/>
          <w:szCs w:val="26"/>
          <w:lang w:val="uk-UA"/>
        </w:rPr>
        <w:t xml:space="preserve">зміна податкової політики в регіоні щодо стимулювання інвестиційної активності – </w:t>
      </w:r>
      <w:r>
        <w:rPr>
          <w:color w:val="auto"/>
          <w:sz w:val="26"/>
          <w:szCs w:val="26"/>
          <w:lang w:val="uk-UA"/>
        </w:rPr>
        <w:t>зміна податкового законодавства;</w:t>
      </w:r>
    </w:p>
    <w:p w:rsidR="00912CD7" w:rsidRDefault="00912CD7" w:rsidP="00912CD7">
      <w:pPr>
        <w:numPr>
          <w:ilvl w:val="0"/>
          <w:numId w:val="4"/>
        </w:numPr>
        <w:spacing w:line="360" w:lineRule="auto"/>
        <w:ind w:left="1418" w:firstLine="0"/>
        <w:jc w:val="both"/>
        <w:rPr>
          <w:color w:val="auto"/>
          <w:sz w:val="26"/>
          <w:szCs w:val="26"/>
          <w:lang w:val="uk-UA"/>
        </w:rPr>
      </w:pPr>
      <w:r>
        <w:rPr>
          <w:i/>
          <w:color w:val="auto"/>
          <w:sz w:val="26"/>
          <w:szCs w:val="26"/>
          <w:lang w:val="uk-UA"/>
        </w:rPr>
        <w:t>неефективне використання рекреаційних ресурсів території</w:t>
      </w:r>
      <w:r>
        <w:rPr>
          <w:color w:val="auto"/>
          <w:sz w:val="26"/>
          <w:szCs w:val="26"/>
          <w:lang w:val="uk-UA"/>
        </w:rPr>
        <w:t xml:space="preserve"> – можливі порушення збоку користувачів природно-рекреаційного потенціалу території, нецільове використання або використання не за призначенням;</w:t>
      </w:r>
    </w:p>
    <w:p w:rsidR="00912CD7" w:rsidRDefault="00912CD7" w:rsidP="00912CD7">
      <w:pPr>
        <w:numPr>
          <w:ilvl w:val="0"/>
          <w:numId w:val="4"/>
        </w:numPr>
        <w:spacing w:line="360" w:lineRule="auto"/>
        <w:ind w:left="1418" w:firstLine="0"/>
        <w:jc w:val="both"/>
        <w:rPr>
          <w:color w:val="auto"/>
          <w:sz w:val="26"/>
          <w:szCs w:val="26"/>
          <w:lang w:val="uk-UA"/>
        </w:rPr>
      </w:pPr>
      <w:r>
        <w:rPr>
          <w:i/>
          <w:color w:val="auto"/>
          <w:sz w:val="26"/>
          <w:szCs w:val="26"/>
          <w:lang w:val="uk-UA"/>
        </w:rPr>
        <w:t>незбалансованість та/або недостатність фінансування ключових складових проекту</w:t>
      </w:r>
      <w:r>
        <w:rPr>
          <w:color w:val="auto"/>
          <w:sz w:val="26"/>
          <w:szCs w:val="26"/>
          <w:lang w:val="uk-UA"/>
        </w:rPr>
        <w:t xml:space="preserve"> – неможливість держави забезпечити етап розвитку базової інфраструктури міста;</w:t>
      </w:r>
    </w:p>
    <w:p w:rsidR="00912CD7" w:rsidRDefault="00912CD7" w:rsidP="00912CD7">
      <w:pPr>
        <w:numPr>
          <w:ilvl w:val="0"/>
          <w:numId w:val="4"/>
        </w:numPr>
        <w:spacing w:line="360" w:lineRule="auto"/>
        <w:ind w:left="1418" w:firstLine="0"/>
        <w:jc w:val="both"/>
        <w:rPr>
          <w:color w:val="auto"/>
          <w:sz w:val="26"/>
          <w:szCs w:val="26"/>
          <w:lang w:val="uk-UA"/>
        </w:rPr>
      </w:pPr>
      <w:r>
        <w:rPr>
          <w:i/>
          <w:color w:val="auto"/>
          <w:sz w:val="26"/>
          <w:szCs w:val="26"/>
          <w:lang w:val="uk-UA"/>
        </w:rPr>
        <w:t>недостатня активність у бізнес-середовищі АРК</w:t>
      </w:r>
      <w:r>
        <w:rPr>
          <w:color w:val="auto"/>
          <w:sz w:val="26"/>
          <w:szCs w:val="26"/>
          <w:lang w:val="uk-UA"/>
        </w:rPr>
        <w:t>;</w:t>
      </w:r>
    </w:p>
    <w:p w:rsidR="00912CD7" w:rsidRDefault="00912CD7" w:rsidP="00912CD7">
      <w:pPr>
        <w:numPr>
          <w:ilvl w:val="0"/>
          <w:numId w:val="4"/>
        </w:numPr>
        <w:spacing w:line="360" w:lineRule="auto"/>
        <w:ind w:hanging="720"/>
        <w:jc w:val="both"/>
        <w:rPr>
          <w:i/>
          <w:color w:val="auto"/>
          <w:sz w:val="26"/>
          <w:szCs w:val="26"/>
          <w:lang w:val="uk-UA"/>
        </w:rPr>
      </w:pPr>
      <w:r>
        <w:rPr>
          <w:i/>
          <w:color w:val="auto"/>
          <w:sz w:val="26"/>
          <w:szCs w:val="26"/>
          <w:lang w:val="uk-UA"/>
        </w:rPr>
        <w:t>екологічні:</w:t>
      </w:r>
    </w:p>
    <w:p w:rsidR="00912CD7" w:rsidRDefault="00912CD7" w:rsidP="00912CD7">
      <w:pPr>
        <w:numPr>
          <w:ilvl w:val="0"/>
          <w:numId w:val="4"/>
        </w:numPr>
        <w:spacing w:line="360" w:lineRule="auto"/>
        <w:ind w:left="1418" w:firstLine="0"/>
        <w:jc w:val="both"/>
        <w:rPr>
          <w:color w:val="auto"/>
          <w:sz w:val="26"/>
          <w:szCs w:val="26"/>
          <w:lang w:val="uk-UA"/>
        </w:rPr>
      </w:pPr>
      <w:r>
        <w:rPr>
          <w:i/>
          <w:color w:val="auto"/>
          <w:sz w:val="26"/>
          <w:szCs w:val="26"/>
          <w:lang w:val="uk-UA"/>
        </w:rPr>
        <w:t>недостатня забезпеченість території проекту якісною питною водою</w:t>
      </w:r>
      <w:r>
        <w:rPr>
          <w:color w:val="auto"/>
          <w:sz w:val="26"/>
          <w:szCs w:val="26"/>
          <w:lang w:val="uk-UA"/>
        </w:rPr>
        <w:t xml:space="preserve"> – існуюча проблема, для якої необхідно шукати шляхи вирішення, аби забезпечити нормальне функціонування курорту;</w:t>
      </w:r>
    </w:p>
    <w:p w:rsidR="00912CD7" w:rsidRDefault="00912CD7" w:rsidP="00912CD7">
      <w:pPr>
        <w:numPr>
          <w:ilvl w:val="0"/>
          <w:numId w:val="4"/>
        </w:numPr>
        <w:spacing w:line="360" w:lineRule="auto"/>
        <w:ind w:left="1418" w:firstLine="0"/>
        <w:jc w:val="both"/>
        <w:rPr>
          <w:color w:val="auto"/>
          <w:sz w:val="26"/>
          <w:szCs w:val="26"/>
          <w:lang w:val="uk-UA"/>
        </w:rPr>
      </w:pPr>
      <w:r>
        <w:rPr>
          <w:i/>
          <w:color w:val="auto"/>
          <w:sz w:val="26"/>
          <w:szCs w:val="26"/>
          <w:lang w:val="uk-UA"/>
        </w:rPr>
        <w:t>погіршення санітарного стану території складової національного проекту «Місто Кімерік»</w:t>
      </w:r>
      <w:r>
        <w:rPr>
          <w:color w:val="auto"/>
          <w:sz w:val="26"/>
          <w:szCs w:val="26"/>
          <w:lang w:val="uk-UA"/>
        </w:rPr>
        <w:t xml:space="preserve"> - погіршення санітарного стану територій до такого, який не забезпечує території статусу курорту;</w:t>
      </w:r>
    </w:p>
    <w:p w:rsidR="00912CD7" w:rsidRDefault="00912CD7" w:rsidP="00912CD7">
      <w:pPr>
        <w:numPr>
          <w:ilvl w:val="0"/>
          <w:numId w:val="4"/>
        </w:numPr>
        <w:spacing w:line="360" w:lineRule="auto"/>
        <w:ind w:left="1418" w:firstLine="0"/>
        <w:jc w:val="both"/>
        <w:rPr>
          <w:color w:val="auto"/>
          <w:sz w:val="26"/>
          <w:szCs w:val="26"/>
          <w:lang w:val="uk-UA"/>
        </w:rPr>
      </w:pPr>
      <w:r>
        <w:rPr>
          <w:i/>
          <w:color w:val="auto"/>
          <w:sz w:val="26"/>
          <w:szCs w:val="26"/>
          <w:lang w:val="uk-UA"/>
        </w:rPr>
        <w:t>погіршення санітарного стану акваторії Чорного моря на території складової національного проекту «Місто Кімерік»</w:t>
      </w:r>
      <w:r>
        <w:rPr>
          <w:color w:val="auto"/>
          <w:sz w:val="26"/>
          <w:szCs w:val="26"/>
          <w:lang w:val="uk-UA"/>
        </w:rPr>
        <w:t xml:space="preserve"> - погіршення санітарного стану акваторії Чорного моря до такого, який не забезпечує території статусу курорту;</w:t>
      </w:r>
    </w:p>
    <w:p w:rsidR="00912CD7" w:rsidRDefault="00912CD7" w:rsidP="00912CD7">
      <w:pPr>
        <w:numPr>
          <w:ilvl w:val="0"/>
          <w:numId w:val="4"/>
        </w:numPr>
        <w:spacing w:line="360" w:lineRule="auto"/>
        <w:ind w:left="1418" w:firstLine="0"/>
        <w:jc w:val="both"/>
        <w:rPr>
          <w:color w:val="auto"/>
          <w:sz w:val="26"/>
          <w:szCs w:val="26"/>
          <w:lang w:val="uk-UA"/>
        </w:rPr>
      </w:pPr>
      <w:r>
        <w:rPr>
          <w:i/>
          <w:color w:val="auto"/>
          <w:sz w:val="26"/>
          <w:szCs w:val="26"/>
          <w:lang w:val="uk-UA"/>
        </w:rPr>
        <w:t>неоптимальне зонування та містобудівні рішення на території складової національного проекту «Місто Кімерік»</w:t>
      </w:r>
      <w:r>
        <w:rPr>
          <w:color w:val="auto"/>
          <w:sz w:val="26"/>
          <w:szCs w:val="26"/>
          <w:lang w:val="uk-UA"/>
        </w:rPr>
        <w:t xml:space="preserve"> - порушення законодавства щодо збереження природно-рекреаційного потенціалу території, будівництво в природно-охоронних зонах;</w:t>
      </w:r>
    </w:p>
    <w:p w:rsidR="00912CD7" w:rsidRDefault="00912CD7" w:rsidP="00912CD7">
      <w:pPr>
        <w:numPr>
          <w:ilvl w:val="0"/>
          <w:numId w:val="4"/>
        </w:numPr>
        <w:spacing w:line="360" w:lineRule="auto"/>
        <w:ind w:hanging="720"/>
        <w:jc w:val="both"/>
        <w:rPr>
          <w:i/>
          <w:color w:val="auto"/>
          <w:sz w:val="26"/>
          <w:szCs w:val="26"/>
          <w:lang w:val="uk-UA"/>
        </w:rPr>
      </w:pPr>
      <w:r>
        <w:rPr>
          <w:i/>
          <w:color w:val="auto"/>
          <w:sz w:val="26"/>
          <w:szCs w:val="26"/>
          <w:lang w:val="uk-UA"/>
        </w:rPr>
        <w:t>соціальні:</w:t>
      </w:r>
    </w:p>
    <w:p w:rsidR="00912CD7" w:rsidRDefault="00912CD7" w:rsidP="00912CD7">
      <w:pPr>
        <w:numPr>
          <w:ilvl w:val="0"/>
          <w:numId w:val="4"/>
        </w:numPr>
        <w:spacing w:line="360" w:lineRule="auto"/>
        <w:ind w:left="1418" w:firstLine="0"/>
        <w:jc w:val="both"/>
        <w:rPr>
          <w:color w:val="auto"/>
          <w:sz w:val="26"/>
          <w:szCs w:val="26"/>
          <w:lang w:val="uk-UA"/>
        </w:rPr>
      </w:pPr>
      <w:r>
        <w:rPr>
          <w:i/>
          <w:color w:val="auto"/>
          <w:sz w:val="26"/>
          <w:szCs w:val="26"/>
          <w:lang w:val="uk-UA"/>
        </w:rPr>
        <w:lastRenderedPageBreak/>
        <w:t>неприйняття проекту або негативна реакція населення щодо проекту</w:t>
      </w:r>
      <w:r>
        <w:rPr>
          <w:color w:val="auto"/>
          <w:sz w:val="26"/>
          <w:szCs w:val="26"/>
          <w:lang w:val="uk-UA"/>
        </w:rPr>
        <w:t xml:space="preserve"> – будь-яке перешкоджання реалізації проекту з боку місцевих жителів, їх не зацікавленість в реалізації проекту, відсутність мотивації до прийняття проекту;</w:t>
      </w:r>
    </w:p>
    <w:p w:rsidR="00912CD7" w:rsidRDefault="00912CD7" w:rsidP="00912CD7">
      <w:pPr>
        <w:numPr>
          <w:ilvl w:val="0"/>
          <w:numId w:val="4"/>
        </w:numPr>
        <w:spacing w:line="360" w:lineRule="auto"/>
        <w:ind w:left="1418" w:firstLine="0"/>
        <w:jc w:val="both"/>
        <w:rPr>
          <w:color w:val="auto"/>
          <w:sz w:val="26"/>
          <w:szCs w:val="26"/>
          <w:lang w:val="uk-UA"/>
        </w:rPr>
      </w:pPr>
      <w:r>
        <w:rPr>
          <w:i/>
          <w:color w:val="auto"/>
          <w:sz w:val="26"/>
          <w:szCs w:val="26"/>
          <w:lang w:val="uk-UA"/>
        </w:rPr>
        <w:t>забруднення та недбайливе ставлення місцевого населення до історичних пам’яток та природно-заповідних зон</w:t>
      </w:r>
      <w:r>
        <w:rPr>
          <w:color w:val="auto"/>
          <w:sz w:val="26"/>
          <w:szCs w:val="26"/>
          <w:lang w:val="uk-UA"/>
        </w:rPr>
        <w:t xml:space="preserve"> – небажання населення підтримувати пам’ятки культури та історії у відповідному стані, створення сміттєзвалищ у недозволеному місці.</w:t>
      </w:r>
    </w:p>
    <w:p w:rsidR="00912CD7" w:rsidRDefault="00912CD7" w:rsidP="00912CD7">
      <w:pPr>
        <w:tabs>
          <w:tab w:val="left" w:pos="900"/>
        </w:tabs>
        <w:spacing w:line="360" w:lineRule="auto"/>
        <w:ind w:firstLine="720"/>
        <w:jc w:val="both"/>
        <w:rPr>
          <w:color w:val="auto"/>
          <w:sz w:val="26"/>
          <w:szCs w:val="26"/>
          <w:lang w:val="uk-UA"/>
        </w:rPr>
      </w:pPr>
      <w:r>
        <w:rPr>
          <w:color w:val="auto"/>
          <w:sz w:val="26"/>
          <w:szCs w:val="26"/>
          <w:lang w:val="uk-UA"/>
        </w:rPr>
        <w:t>Реалізація будь-якого проекту передбачає наявність перешкод у зовнішньому середовищі проекту, проект «</w:t>
      </w:r>
      <w:r>
        <w:rPr>
          <w:sz w:val="26"/>
          <w:szCs w:val="26"/>
          <w:lang w:val="uk-UA"/>
        </w:rPr>
        <w:t>Східний Крим</w:t>
      </w:r>
      <w:r>
        <w:rPr>
          <w:color w:val="auto"/>
          <w:sz w:val="26"/>
          <w:szCs w:val="26"/>
          <w:lang w:val="uk-UA"/>
        </w:rPr>
        <w:t>» не є виключенням. Найбільш вагомими із них є політичні та економічні перешкоди, які можуть «заблокувати» реалізацію проекту вже на передінвестиційному етапі.</w:t>
      </w:r>
    </w:p>
    <w:p w:rsidR="00912CD7" w:rsidRDefault="00912CD7" w:rsidP="00912CD7">
      <w:pPr>
        <w:tabs>
          <w:tab w:val="left" w:pos="708"/>
        </w:tabs>
        <w:spacing w:line="360" w:lineRule="auto"/>
        <w:ind w:firstLine="709"/>
        <w:jc w:val="both"/>
        <w:rPr>
          <w:sz w:val="26"/>
          <w:szCs w:val="26"/>
          <w:lang w:val="uk-UA"/>
        </w:rPr>
      </w:pPr>
      <w:r>
        <w:rPr>
          <w:sz w:val="26"/>
          <w:szCs w:val="26"/>
          <w:lang w:val="uk-UA"/>
        </w:rPr>
        <w:t>Проте вказані перешкоди не є на цей час принципово нездоланними, захист проекту від зазначених загрозливих факторів можна забезпечити за умов впровадження спеціальних механізмів його реалізації. Можливість розробки та використання таких механізмів визначена, зокрема, у Національному плану дій на 2012 рік щодо впровадження Програми економічних реформ на 2010-2014 роки, затвердженому Указом Президента України від 21.03.2012 року № 187/2012), в якому зазначається, що впровадження Національних проектів має відбуватися через запровадження ефективного механізму залучення інвестицій та відповідного законодавчого забезпечення.</w:t>
      </w:r>
    </w:p>
    <w:p w:rsidR="00912CD7" w:rsidRDefault="00912CD7" w:rsidP="00912CD7">
      <w:pPr>
        <w:tabs>
          <w:tab w:val="left" w:pos="708"/>
        </w:tabs>
        <w:spacing w:line="360" w:lineRule="auto"/>
        <w:ind w:firstLine="709"/>
        <w:jc w:val="both"/>
        <w:rPr>
          <w:sz w:val="26"/>
          <w:szCs w:val="26"/>
          <w:lang w:val="uk-UA"/>
        </w:rPr>
      </w:pPr>
    </w:p>
    <w:p w:rsidR="00912CD7" w:rsidRDefault="00912CD7" w:rsidP="00912CD7">
      <w:pPr>
        <w:tabs>
          <w:tab w:val="left" w:pos="708"/>
        </w:tabs>
        <w:spacing w:line="360" w:lineRule="auto"/>
        <w:jc w:val="center"/>
        <w:rPr>
          <w:i/>
          <w:sz w:val="26"/>
          <w:szCs w:val="26"/>
          <w:lang w:val="uk-UA"/>
        </w:rPr>
      </w:pPr>
      <w:r>
        <w:rPr>
          <w:i/>
          <w:sz w:val="26"/>
          <w:szCs w:val="26"/>
          <w:lang w:val="uk-UA"/>
        </w:rPr>
        <w:t>Механізми здолання перешкод реалізації проекту</w:t>
      </w:r>
    </w:p>
    <w:p w:rsidR="00912CD7" w:rsidRDefault="00912CD7" w:rsidP="00912CD7">
      <w:pPr>
        <w:tabs>
          <w:tab w:val="left" w:pos="708"/>
        </w:tabs>
        <w:spacing w:line="360" w:lineRule="auto"/>
        <w:ind w:firstLine="709"/>
        <w:jc w:val="both"/>
        <w:rPr>
          <w:rStyle w:val="FontStyle190"/>
          <w:rFonts w:eastAsia="Arial Unicode MS"/>
          <w:bCs/>
          <w:iCs/>
          <w:sz w:val="26"/>
          <w:szCs w:val="26"/>
        </w:rPr>
      </w:pPr>
      <w:r>
        <w:rPr>
          <w:rStyle w:val="FontStyle190"/>
          <w:rFonts w:eastAsia="Arial Unicode MS"/>
          <w:bCs/>
          <w:i/>
          <w:iCs/>
          <w:sz w:val="26"/>
          <w:szCs w:val="26"/>
          <w:lang w:val="uk-UA"/>
        </w:rPr>
        <w:t>Організаційно-правовий:</w:t>
      </w:r>
    </w:p>
    <w:p w:rsidR="00912CD7" w:rsidRDefault="00912CD7" w:rsidP="00912CD7">
      <w:pPr>
        <w:pStyle w:val="a5"/>
        <w:numPr>
          <w:ilvl w:val="0"/>
          <w:numId w:val="5"/>
        </w:numPr>
        <w:tabs>
          <w:tab w:val="left" w:pos="708"/>
        </w:tabs>
        <w:spacing w:line="360" w:lineRule="auto"/>
        <w:ind w:left="0" w:firstLine="709"/>
        <w:contextualSpacing/>
        <w:jc w:val="both"/>
        <w:rPr>
          <w:rStyle w:val="FontStyle190"/>
          <w:rFonts w:eastAsia="Arial Unicode MS"/>
          <w:bCs/>
          <w:iCs/>
          <w:sz w:val="26"/>
          <w:szCs w:val="26"/>
          <w:lang w:val="uk-UA"/>
        </w:rPr>
      </w:pPr>
      <w:r>
        <w:rPr>
          <w:rStyle w:val="FontStyle190"/>
          <w:rFonts w:eastAsia="Arial Unicode MS"/>
          <w:bCs/>
          <w:iCs/>
          <w:sz w:val="26"/>
          <w:szCs w:val="26"/>
          <w:lang w:val="uk-UA"/>
        </w:rPr>
        <w:t>створення сприятливих умов для залучення приватного капіталу у розвиток курортно-рекреаційної галузі, зокрема, шляхом запровадження спеціальних правових режимів економічної діяльності у цій сфері;</w:t>
      </w:r>
    </w:p>
    <w:p w:rsidR="00912CD7" w:rsidRDefault="00912CD7" w:rsidP="00912CD7">
      <w:pPr>
        <w:pStyle w:val="a5"/>
        <w:numPr>
          <w:ilvl w:val="0"/>
          <w:numId w:val="5"/>
        </w:numPr>
        <w:tabs>
          <w:tab w:val="left" w:pos="708"/>
        </w:tabs>
        <w:spacing w:line="360" w:lineRule="auto"/>
        <w:ind w:left="0" w:firstLine="709"/>
        <w:contextualSpacing/>
        <w:jc w:val="both"/>
        <w:rPr>
          <w:rStyle w:val="FontStyle190"/>
          <w:rFonts w:eastAsia="Arial Unicode MS"/>
          <w:bCs/>
          <w:iCs/>
          <w:sz w:val="26"/>
          <w:szCs w:val="26"/>
          <w:lang w:val="uk-UA"/>
        </w:rPr>
      </w:pPr>
      <w:r>
        <w:rPr>
          <w:rStyle w:val="FontStyle190"/>
          <w:rFonts w:eastAsia="Arial Unicode MS"/>
          <w:bCs/>
          <w:iCs/>
          <w:sz w:val="26"/>
          <w:szCs w:val="26"/>
          <w:lang w:val="uk-UA"/>
        </w:rPr>
        <w:t>законодавче унормування порядку використання земель рекреаційного призначення;</w:t>
      </w:r>
    </w:p>
    <w:p w:rsidR="00912CD7" w:rsidRDefault="00912CD7" w:rsidP="00912CD7">
      <w:pPr>
        <w:pStyle w:val="a5"/>
        <w:numPr>
          <w:ilvl w:val="0"/>
          <w:numId w:val="5"/>
        </w:numPr>
        <w:tabs>
          <w:tab w:val="left" w:pos="708"/>
        </w:tabs>
        <w:spacing w:line="360" w:lineRule="auto"/>
        <w:ind w:left="0" w:firstLine="709"/>
        <w:contextualSpacing/>
        <w:jc w:val="both"/>
        <w:rPr>
          <w:rStyle w:val="FontStyle190"/>
          <w:rFonts w:eastAsia="Arial Unicode MS"/>
          <w:b/>
          <w:bCs/>
          <w:i/>
          <w:iCs/>
          <w:sz w:val="26"/>
          <w:szCs w:val="26"/>
          <w:lang w:val="uk-UA"/>
        </w:rPr>
      </w:pPr>
      <w:r>
        <w:rPr>
          <w:rStyle w:val="FontStyle190"/>
          <w:rFonts w:eastAsia="Arial Unicode MS"/>
          <w:bCs/>
          <w:iCs/>
          <w:sz w:val="26"/>
          <w:szCs w:val="26"/>
          <w:lang w:val="uk-UA"/>
        </w:rPr>
        <w:t>спрощення порядку набуття прав власності на об'єкти незавершеного будівництва та майнові комплекси для спорудження об’єктів рекреаційно-туристичної інфраструктури;</w:t>
      </w:r>
    </w:p>
    <w:p w:rsidR="00912CD7" w:rsidRDefault="00912CD7" w:rsidP="00912CD7">
      <w:pPr>
        <w:pStyle w:val="a5"/>
        <w:numPr>
          <w:ilvl w:val="0"/>
          <w:numId w:val="5"/>
        </w:numPr>
        <w:tabs>
          <w:tab w:val="left" w:pos="708"/>
        </w:tabs>
        <w:spacing w:line="360" w:lineRule="auto"/>
        <w:ind w:left="0" w:firstLine="709"/>
        <w:contextualSpacing/>
        <w:jc w:val="both"/>
        <w:rPr>
          <w:rFonts w:eastAsia="Arial Unicode MS"/>
        </w:rPr>
      </w:pPr>
      <w:r>
        <w:rPr>
          <w:sz w:val="26"/>
          <w:szCs w:val="26"/>
          <w:lang w:val="uk-UA"/>
        </w:rPr>
        <w:lastRenderedPageBreak/>
        <w:t>розробка і прийняття нормативно-правових актів для створення нового цілорічного курортного містечка;</w:t>
      </w:r>
    </w:p>
    <w:p w:rsidR="00912CD7" w:rsidRDefault="00912CD7" w:rsidP="00912CD7">
      <w:pPr>
        <w:pStyle w:val="a5"/>
        <w:numPr>
          <w:ilvl w:val="0"/>
          <w:numId w:val="5"/>
        </w:numPr>
        <w:tabs>
          <w:tab w:val="left" w:pos="708"/>
        </w:tabs>
        <w:spacing w:line="360" w:lineRule="auto"/>
        <w:ind w:left="0" w:firstLine="709"/>
        <w:contextualSpacing/>
        <w:jc w:val="both"/>
        <w:rPr>
          <w:rFonts w:eastAsia="Arial Unicode MS"/>
          <w:bCs/>
          <w:iCs/>
          <w:sz w:val="26"/>
          <w:szCs w:val="26"/>
          <w:lang w:val="uk-UA"/>
        </w:rPr>
      </w:pPr>
      <w:r>
        <w:rPr>
          <w:rFonts w:eastAsia="Arial Unicode MS"/>
          <w:bCs/>
          <w:iCs/>
          <w:sz w:val="26"/>
          <w:szCs w:val="26"/>
          <w:lang w:val="uk-UA"/>
        </w:rPr>
        <w:t>формування об’єктів спеціального правового режиму рекреаційно-господарської діяльності – парків, курортів, природних заказників;</w:t>
      </w:r>
    </w:p>
    <w:p w:rsidR="00912CD7" w:rsidRDefault="00912CD7" w:rsidP="00912CD7">
      <w:pPr>
        <w:pStyle w:val="a5"/>
        <w:numPr>
          <w:ilvl w:val="0"/>
          <w:numId w:val="5"/>
        </w:numPr>
        <w:tabs>
          <w:tab w:val="left" w:pos="708"/>
        </w:tabs>
        <w:spacing w:line="360" w:lineRule="auto"/>
        <w:ind w:left="0" w:firstLine="709"/>
        <w:contextualSpacing/>
        <w:jc w:val="both"/>
        <w:rPr>
          <w:rFonts w:eastAsia="Arial Unicode MS"/>
          <w:bCs/>
          <w:iCs/>
          <w:sz w:val="26"/>
          <w:szCs w:val="26"/>
          <w:lang w:val="uk-UA"/>
        </w:rPr>
      </w:pPr>
      <w:r>
        <w:rPr>
          <w:rFonts w:eastAsia="Arial Unicode MS"/>
          <w:bCs/>
          <w:iCs/>
          <w:sz w:val="26"/>
          <w:szCs w:val="26"/>
          <w:lang w:val="uk-UA"/>
        </w:rPr>
        <w:t>створення кластерів (територіальних виробничих систем) у рекреаційній сфері як нових моделей прискореного розвитку;</w:t>
      </w:r>
    </w:p>
    <w:p w:rsidR="00912CD7" w:rsidRDefault="00912CD7" w:rsidP="00912CD7">
      <w:pPr>
        <w:pStyle w:val="a5"/>
        <w:numPr>
          <w:ilvl w:val="0"/>
          <w:numId w:val="5"/>
        </w:numPr>
        <w:tabs>
          <w:tab w:val="left" w:pos="708"/>
        </w:tabs>
        <w:spacing w:line="360" w:lineRule="auto"/>
        <w:ind w:left="0" w:firstLine="709"/>
        <w:contextualSpacing/>
        <w:jc w:val="both"/>
        <w:rPr>
          <w:rFonts w:eastAsia="Arial Unicode MS"/>
          <w:bCs/>
          <w:iCs/>
          <w:sz w:val="26"/>
          <w:szCs w:val="26"/>
          <w:lang w:val="uk-UA"/>
        </w:rPr>
      </w:pPr>
      <w:r>
        <w:rPr>
          <w:rFonts w:eastAsia="Arial Unicode MS"/>
          <w:bCs/>
          <w:iCs/>
          <w:sz w:val="26"/>
          <w:szCs w:val="26"/>
          <w:lang w:val="uk-UA"/>
        </w:rPr>
        <w:t>підвищення якості та забезпечення конкурентоспроможності продуктів та об’єктів у рекреаційної сфери на світовому ринку послуг;</w:t>
      </w:r>
    </w:p>
    <w:p w:rsidR="00912CD7" w:rsidRDefault="00912CD7" w:rsidP="00912CD7">
      <w:pPr>
        <w:pStyle w:val="a5"/>
        <w:numPr>
          <w:ilvl w:val="0"/>
          <w:numId w:val="5"/>
        </w:numPr>
        <w:tabs>
          <w:tab w:val="left" w:pos="708"/>
        </w:tabs>
        <w:spacing w:line="360" w:lineRule="auto"/>
        <w:ind w:left="0" w:firstLine="709"/>
        <w:contextualSpacing/>
        <w:jc w:val="both"/>
        <w:rPr>
          <w:rFonts w:eastAsia="Arial Unicode MS"/>
          <w:bCs/>
          <w:iCs/>
          <w:sz w:val="26"/>
          <w:szCs w:val="26"/>
          <w:lang w:val="uk-UA"/>
        </w:rPr>
      </w:pPr>
      <w:r>
        <w:rPr>
          <w:rFonts w:eastAsia="Arial Unicode MS"/>
          <w:bCs/>
          <w:iCs/>
          <w:sz w:val="26"/>
          <w:szCs w:val="26"/>
          <w:lang w:val="uk-UA"/>
        </w:rPr>
        <w:t>удосконалення механізмів контролю за дотриманням стандартів надання туристично-екскурсійних, санаторно-курортних і готельних послуг;</w:t>
      </w:r>
    </w:p>
    <w:p w:rsidR="00912CD7" w:rsidRDefault="00912CD7" w:rsidP="00912CD7">
      <w:pPr>
        <w:pStyle w:val="a5"/>
        <w:numPr>
          <w:ilvl w:val="0"/>
          <w:numId w:val="5"/>
        </w:numPr>
        <w:tabs>
          <w:tab w:val="left" w:pos="708"/>
        </w:tabs>
        <w:spacing w:line="360" w:lineRule="auto"/>
        <w:ind w:left="0" w:firstLine="709"/>
        <w:contextualSpacing/>
        <w:jc w:val="both"/>
        <w:rPr>
          <w:rFonts w:eastAsia="Arial Unicode MS"/>
          <w:bCs/>
          <w:iCs/>
          <w:sz w:val="26"/>
          <w:szCs w:val="26"/>
          <w:lang w:val="uk-UA"/>
        </w:rPr>
      </w:pPr>
      <w:r>
        <w:rPr>
          <w:rFonts w:eastAsia="Arial Unicode MS"/>
          <w:bCs/>
          <w:iCs/>
          <w:sz w:val="26"/>
          <w:szCs w:val="26"/>
          <w:lang w:val="uk-UA"/>
        </w:rPr>
        <w:t>проведення маркетингових досліджень з метою виявлення ресурсів підвищення доходності об’єктів рекреації.</w:t>
      </w:r>
    </w:p>
    <w:p w:rsidR="00912CD7" w:rsidRDefault="00912CD7" w:rsidP="00912CD7">
      <w:pPr>
        <w:tabs>
          <w:tab w:val="left" w:pos="708"/>
        </w:tabs>
        <w:spacing w:line="360" w:lineRule="auto"/>
        <w:ind w:left="709"/>
        <w:jc w:val="both"/>
        <w:rPr>
          <w:rStyle w:val="FontStyle190"/>
          <w:rFonts w:eastAsia="Arial Unicode MS"/>
          <w:i/>
          <w:sz w:val="26"/>
          <w:szCs w:val="26"/>
        </w:rPr>
      </w:pPr>
      <w:r>
        <w:rPr>
          <w:rFonts w:eastAsia="Arial Unicode MS"/>
          <w:bCs/>
          <w:i/>
          <w:iCs/>
          <w:sz w:val="26"/>
          <w:szCs w:val="26"/>
          <w:lang w:val="uk-UA"/>
        </w:rPr>
        <w:t>Ф</w:t>
      </w:r>
      <w:r>
        <w:rPr>
          <w:rStyle w:val="FontStyle190"/>
          <w:rFonts w:eastAsia="Arial Unicode MS"/>
          <w:bCs/>
          <w:i/>
          <w:sz w:val="26"/>
          <w:szCs w:val="26"/>
          <w:lang w:val="uk-UA"/>
        </w:rPr>
        <w:t>інансово-економічний:</w:t>
      </w:r>
    </w:p>
    <w:p w:rsidR="00912CD7" w:rsidRDefault="00912CD7" w:rsidP="00912CD7">
      <w:pPr>
        <w:pStyle w:val="a5"/>
        <w:numPr>
          <w:ilvl w:val="0"/>
          <w:numId w:val="5"/>
        </w:numPr>
        <w:tabs>
          <w:tab w:val="left" w:pos="708"/>
        </w:tabs>
        <w:spacing w:line="360" w:lineRule="auto"/>
        <w:ind w:left="0" w:firstLine="709"/>
        <w:contextualSpacing/>
        <w:jc w:val="both"/>
      </w:pPr>
      <w:r>
        <w:rPr>
          <w:rStyle w:val="FontStyle190"/>
          <w:rFonts w:eastAsia="Arial Unicode MS"/>
          <w:sz w:val="26"/>
          <w:szCs w:val="26"/>
          <w:lang w:val="uk-UA"/>
        </w:rPr>
        <w:t xml:space="preserve">збільшення обсягів державних інвестицій на розвиток інфраструктури, сприятливої для туристично-рекреаційної сфери. </w:t>
      </w:r>
      <w:r>
        <w:rPr>
          <w:sz w:val="26"/>
          <w:szCs w:val="26"/>
          <w:lang w:val="uk-UA"/>
        </w:rPr>
        <w:t>Комплексне вирішення питань сталого розвитку території Східного Криму потребує створення: транспортної розв’язки та автодороги для виходу на євразійський транспортний коридор; високовольтної лінії; водогону та каналізації; об’єктів  соціально-побутової сфери та житла;</w:t>
      </w:r>
    </w:p>
    <w:p w:rsidR="00912CD7" w:rsidRDefault="00912CD7" w:rsidP="00912CD7">
      <w:pPr>
        <w:pStyle w:val="a5"/>
        <w:numPr>
          <w:ilvl w:val="0"/>
          <w:numId w:val="6"/>
        </w:numPr>
        <w:tabs>
          <w:tab w:val="left" w:pos="708"/>
        </w:tabs>
        <w:spacing w:line="360" w:lineRule="auto"/>
        <w:ind w:left="0" w:firstLine="709"/>
        <w:contextualSpacing/>
        <w:jc w:val="both"/>
        <w:rPr>
          <w:sz w:val="26"/>
          <w:szCs w:val="26"/>
          <w:lang w:val="uk-UA"/>
        </w:rPr>
      </w:pPr>
      <w:r>
        <w:rPr>
          <w:sz w:val="26"/>
          <w:szCs w:val="26"/>
          <w:lang w:val="uk-UA"/>
        </w:rPr>
        <w:t>залучення кредитного капіталу, фінансування рекреаційно-туристичних проектів за рахунок власних коштів суб'єктів підприємницької діяльності;</w:t>
      </w:r>
    </w:p>
    <w:p w:rsidR="00912CD7" w:rsidRDefault="00912CD7" w:rsidP="00912CD7">
      <w:pPr>
        <w:pStyle w:val="a5"/>
        <w:numPr>
          <w:ilvl w:val="0"/>
          <w:numId w:val="6"/>
        </w:numPr>
        <w:tabs>
          <w:tab w:val="left" w:pos="708"/>
        </w:tabs>
        <w:spacing w:line="360" w:lineRule="auto"/>
        <w:ind w:left="0" w:firstLine="709"/>
        <w:contextualSpacing/>
        <w:jc w:val="both"/>
        <w:rPr>
          <w:sz w:val="26"/>
          <w:szCs w:val="26"/>
          <w:lang w:val="uk-UA"/>
        </w:rPr>
      </w:pPr>
      <w:r>
        <w:rPr>
          <w:sz w:val="26"/>
          <w:szCs w:val="26"/>
          <w:lang w:val="uk-UA"/>
        </w:rPr>
        <w:t>податкове стимулювання інвесторів, які гарантують розбудову та довгострокові вкладення у лікувально-оздоровчу та туристично-готельну індустрію;</w:t>
      </w:r>
    </w:p>
    <w:p w:rsidR="00912CD7" w:rsidRDefault="00912CD7" w:rsidP="00912CD7">
      <w:pPr>
        <w:pStyle w:val="a5"/>
        <w:numPr>
          <w:ilvl w:val="0"/>
          <w:numId w:val="6"/>
        </w:numPr>
        <w:tabs>
          <w:tab w:val="left" w:pos="708"/>
        </w:tabs>
        <w:spacing w:line="360" w:lineRule="auto"/>
        <w:ind w:left="0" w:firstLine="709"/>
        <w:contextualSpacing/>
        <w:jc w:val="both"/>
        <w:rPr>
          <w:sz w:val="26"/>
          <w:szCs w:val="26"/>
          <w:lang w:val="uk-UA"/>
        </w:rPr>
      </w:pPr>
      <w:r>
        <w:rPr>
          <w:sz w:val="26"/>
          <w:szCs w:val="26"/>
          <w:lang w:val="uk-UA"/>
        </w:rPr>
        <w:t>підтримка малого та середнього бізнесу у розбудові рекреаційної сфери, розширенні мережі баз відпочинку, малих сімейних готелів, сільських зелених садиб тощо;</w:t>
      </w:r>
    </w:p>
    <w:p w:rsidR="00912CD7" w:rsidRDefault="00912CD7" w:rsidP="00912CD7">
      <w:pPr>
        <w:pStyle w:val="a5"/>
        <w:numPr>
          <w:ilvl w:val="0"/>
          <w:numId w:val="6"/>
        </w:numPr>
        <w:tabs>
          <w:tab w:val="left" w:pos="708"/>
        </w:tabs>
        <w:spacing w:line="360" w:lineRule="auto"/>
        <w:ind w:left="0" w:firstLine="709"/>
        <w:contextualSpacing/>
        <w:jc w:val="both"/>
        <w:rPr>
          <w:sz w:val="26"/>
          <w:szCs w:val="26"/>
          <w:lang w:val="uk-UA"/>
        </w:rPr>
      </w:pPr>
      <w:r>
        <w:rPr>
          <w:sz w:val="26"/>
          <w:szCs w:val="26"/>
          <w:lang w:val="uk-UA"/>
        </w:rPr>
        <w:t>підтримка інноваційних технологій розвитку курортно-реабілітаційної сфери.</w:t>
      </w:r>
    </w:p>
    <w:p w:rsidR="00912CD7" w:rsidRDefault="00912CD7" w:rsidP="00912CD7">
      <w:pPr>
        <w:pStyle w:val="a5"/>
        <w:tabs>
          <w:tab w:val="left" w:pos="708"/>
        </w:tabs>
        <w:spacing w:line="360" w:lineRule="auto"/>
        <w:ind w:left="709"/>
        <w:contextualSpacing/>
        <w:jc w:val="both"/>
        <w:rPr>
          <w:i/>
          <w:sz w:val="26"/>
          <w:szCs w:val="26"/>
          <w:lang w:val="uk-UA"/>
        </w:rPr>
      </w:pPr>
      <w:r>
        <w:rPr>
          <w:sz w:val="26"/>
          <w:szCs w:val="26"/>
          <w:lang w:val="uk-UA"/>
        </w:rPr>
        <w:br w:type="page"/>
      </w:r>
      <w:r>
        <w:rPr>
          <w:i/>
          <w:sz w:val="26"/>
          <w:szCs w:val="26"/>
          <w:lang w:val="uk-UA"/>
        </w:rPr>
        <w:lastRenderedPageBreak/>
        <w:t>Інформаційно-комунікативний:</w:t>
      </w:r>
    </w:p>
    <w:p w:rsidR="00912CD7" w:rsidRDefault="00912CD7" w:rsidP="00912CD7">
      <w:pPr>
        <w:pStyle w:val="a5"/>
        <w:numPr>
          <w:ilvl w:val="0"/>
          <w:numId w:val="6"/>
        </w:numPr>
        <w:tabs>
          <w:tab w:val="left" w:pos="708"/>
        </w:tabs>
        <w:spacing w:line="360" w:lineRule="auto"/>
        <w:ind w:left="0" w:firstLine="709"/>
        <w:contextualSpacing/>
        <w:jc w:val="both"/>
        <w:rPr>
          <w:color w:val="000000"/>
          <w:sz w:val="26"/>
          <w:szCs w:val="26"/>
          <w:lang w:val="uk-UA"/>
        </w:rPr>
      </w:pPr>
      <w:r>
        <w:rPr>
          <w:color w:val="000000"/>
          <w:sz w:val="26"/>
          <w:szCs w:val="26"/>
          <w:lang w:val="uk-UA"/>
        </w:rPr>
        <w:t>створення єдиної інформаційної системи з переліком туристичних, курортних, лікувальних, реабілітаційних та інших супутніх послуг;</w:t>
      </w:r>
    </w:p>
    <w:p w:rsidR="00912CD7" w:rsidRDefault="00912CD7" w:rsidP="00912CD7">
      <w:pPr>
        <w:pStyle w:val="a5"/>
        <w:numPr>
          <w:ilvl w:val="0"/>
          <w:numId w:val="6"/>
        </w:numPr>
        <w:tabs>
          <w:tab w:val="left" w:pos="708"/>
        </w:tabs>
        <w:spacing w:line="360" w:lineRule="auto"/>
        <w:ind w:left="0" w:firstLine="709"/>
        <w:contextualSpacing/>
        <w:jc w:val="both"/>
        <w:rPr>
          <w:color w:val="000000"/>
          <w:sz w:val="26"/>
          <w:szCs w:val="26"/>
          <w:lang w:val="uk-UA"/>
        </w:rPr>
      </w:pPr>
      <w:r>
        <w:rPr>
          <w:color w:val="000000"/>
          <w:sz w:val="26"/>
          <w:szCs w:val="26"/>
          <w:lang w:val="uk-UA"/>
        </w:rPr>
        <w:t>створення геоінформаційної системи для комплексного і ефективного управління курортним містечком за технологією SMART.</w:t>
      </w:r>
    </w:p>
    <w:p w:rsidR="00912CD7" w:rsidRDefault="00912CD7" w:rsidP="00912CD7">
      <w:pPr>
        <w:tabs>
          <w:tab w:val="left" w:pos="708"/>
        </w:tabs>
        <w:spacing w:line="360" w:lineRule="auto"/>
        <w:ind w:firstLine="709"/>
        <w:jc w:val="both"/>
        <w:rPr>
          <w:rStyle w:val="FontStyle190"/>
          <w:rFonts w:eastAsia="Arial Unicode MS"/>
          <w:bCs/>
          <w:i/>
          <w:sz w:val="26"/>
          <w:szCs w:val="26"/>
        </w:rPr>
      </w:pPr>
      <w:r>
        <w:rPr>
          <w:rStyle w:val="FontStyle190"/>
          <w:rFonts w:eastAsia="Arial Unicode MS"/>
          <w:bCs/>
          <w:i/>
          <w:sz w:val="26"/>
          <w:szCs w:val="26"/>
          <w:lang w:val="uk-UA"/>
        </w:rPr>
        <w:t>Інструментально-технологічний:</w:t>
      </w:r>
    </w:p>
    <w:p w:rsidR="00912CD7" w:rsidRDefault="00912CD7" w:rsidP="00912CD7">
      <w:pPr>
        <w:pStyle w:val="a5"/>
        <w:numPr>
          <w:ilvl w:val="0"/>
          <w:numId w:val="6"/>
        </w:numPr>
        <w:tabs>
          <w:tab w:val="left" w:pos="708"/>
        </w:tabs>
        <w:spacing w:line="360" w:lineRule="auto"/>
        <w:ind w:left="0" w:firstLine="709"/>
        <w:contextualSpacing/>
        <w:jc w:val="both"/>
      </w:pPr>
      <w:r>
        <w:rPr>
          <w:rStyle w:val="FontStyle190"/>
          <w:rFonts w:eastAsia="Arial Unicode MS"/>
          <w:iCs/>
          <w:sz w:val="26"/>
          <w:szCs w:val="26"/>
          <w:lang w:val="uk-UA"/>
        </w:rPr>
        <w:t xml:space="preserve">запровадження методології проектного менеджменту для розроблення проектно-технічної документації та проведення комплексу робіт з  стратегічного планування та територіального проектування </w:t>
      </w:r>
      <w:r>
        <w:rPr>
          <w:sz w:val="26"/>
          <w:szCs w:val="26"/>
          <w:lang w:val="uk-UA"/>
        </w:rPr>
        <w:t>об’єктів цілорічного курортного міста;</w:t>
      </w:r>
    </w:p>
    <w:p w:rsidR="00912CD7" w:rsidRDefault="00912CD7" w:rsidP="00912CD7">
      <w:pPr>
        <w:pStyle w:val="a5"/>
        <w:numPr>
          <w:ilvl w:val="0"/>
          <w:numId w:val="6"/>
        </w:numPr>
        <w:tabs>
          <w:tab w:val="left" w:pos="708"/>
        </w:tabs>
        <w:spacing w:line="360" w:lineRule="auto"/>
        <w:ind w:left="0" w:firstLine="709"/>
        <w:contextualSpacing/>
        <w:jc w:val="both"/>
        <w:rPr>
          <w:sz w:val="26"/>
          <w:szCs w:val="26"/>
          <w:lang w:val="uk-UA"/>
        </w:rPr>
      </w:pPr>
      <w:r>
        <w:rPr>
          <w:sz w:val="26"/>
          <w:szCs w:val="26"/>
          <w:lang w:val="uk-UA"/>
        </w:rPr>
        <w:t>використання технології геоінформаційного проектування для проведення робіт з планування території та ефективного управління міською інфраструктурою.</w:t>
      </w:r>
    </w:p>
    <w:p w:rsidR="006D79FF" w:rsidRDefault="006D79FF"/>
    <w:sectPr w:rsidR="006D7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7A62"/>
    <w:multiLevelType w:val="hybridMultilevel"/>
    <w:tmpl w:val="BA96A32C"/>
    <w:lvl w:ilvl="0" w:tplc="F43E8826">
      <w:start w:val="2"/>
      <w:numFmt w:val="bullet"/>
      <w:lvlText w:val="-"/>
      <w:lvlJc w:val="left"/>
      <w:pPr>
        <w:ind w:left="1069" w:hanging="360"/>
      </w:pPr>
      <w:rPr>
        <w:rFonts w:ascii="Times New Roman" w:eastAsia="Arial"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
    <w:nsid w:val="17F677B9"/>
    <w:multiLevelType w:val="hybridMultilevel"/>
    <w:tmpl w:val="72FEF840"/>
    <w:lvl w:ilvl="0" w:tplc="63ECB844">
      <w:numFmt w:val="bullet"/>
      <w:lvlText w:val="-"/>
      <w:lvlJc w:val="left"/>
      <w:pPr>
        <w:ind w:left="1773"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32B74D3E"/>
    <w:multiLevelType w:val="hybridMultilevel"/>
    <w:tmpl w:val="50BEF140"/>
    <w:lvl w:ilvl="0" w:tplc="15860AA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98F0D68"/>
    <w:multiLevelType w:val="hybridMultilevel"/>
    <w:tmpl w:val="1A98C2CA"/>
    <w:lvl w:ilvl="0" w:tplc="3188AC40">
      <w:start w:val="2"/>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6ACC6C56"/>
    <w:multiLevelType w:val="multilevel"/>
    <w:tmpl w:val="C1042A2A"/>
    <w:lvl w:ilvl="0">
      <w:start w:val="1"/>
      <w:numFmt w:val="decimal"/>
      <w:lvlText w:val="%1."/>
      <w:lvlJc w:val="left"/>
      <w:pPr>
        <w:ind w:left="720" w:hanging="360"/>
      </w:pPr>
    </w:lvl>
    <w:lvl w:ilvl="1">
      <w:start w:val="3"/>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5">
    <w:nsid w:val="7C4075AC"/>
    <w:multiLevelType w:val="hybridMultilevel"/>
    <w:tmpl w:val="5672C1D0"/>
    <w:lvl w:ilvl="0" w:tplc="63ECB844">
      <w:numFmt w:val="bullet"/>
      <w:lvlText w:val="-"/>
      <w:lvlJc w:val="left"/>
      <w:pPr>
        <w:ind w:left="1773"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D7"/>
    <w:rsid w:val="005357D7"/>
    <w:rsid w:val="006D79FF"/>
    <w:rsid w:val="00912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CD7"/>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12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912CD7"/>
    <w:rPr>
      <w:rFonts w:ascii="Courier New" w:eastAsia="Times New Roman" w:hAnsi="Courier New" w:cs="Courier New"/>
      <w:sz w:val="20"/>
      <w:szCs w:val="20"/>
      <w:lang w:eastAsia="ru-RU"/>
    </w:rPr>
  </w:style>
  <w:style w:type="paragraph" w:styleId="a3">
    <w:name w:val="Normal (Web)"/>
    <w:basedOn w:val="a"/>
    <w:uiPriority w:val="99"/>
    <w:semiHidden/>
    <w:unhideWhenUsed/>
    <w:rsid w:val="00912CD7"/>
    <w:pPr>
      <w:spacing w:before="100" w:beforeAutospacing="1" w:after="100" w:afterAutospacing="1"/>
    </w:pPr>
    <w:rPr>
      <w:color w:val="auto"/>
      <w:sz w:val="24"/>
      <w:szCs w:val="24"/>
    </w:rPr>
  </w:style>
  <w:style w:type="paragraph" w:styleId="a4">
    <w:name w:val="No Spacing"/>
    <w:uiPriority w:val="1"/>
    <w:qFormat/>
    <w:rsid w:val="00912CD7"/>
    <w:pPr>
      <w:spacing w:after="0" w:line="240" w:lineRule="auto"/>
    </w:pPr>
    <w:rPr>
      <w:rFonts w:ascii="Calibri" w:eastAsia="Calibri" w:hAnsi="Calibri" w:cs="Times New Roman"/>
      <w:lang w:val="uk-UA"/>
    </w:rPr>
  </w:style>
  <w:style w:type="paragraph" w:styleId="a5">
    <w:name w:val="List Paragraph"/>
    <w:basedOn w:val="a"/>
    <w:uiPriority w:val="34"/>
    <w:qFormat/>
    <w:rsid w:val="00912CD7"/>
    <w:pPr>
      <w:ind w:left="708"/>
    </w:pPr>
    <w:rPr>
      <w:color w:val="auto"/>
      <w:sz w:val="20"/>
      <w:szCs w:val="20"/>
      <w:lang w:val="en-GB"/>
    </w:rPr>
  </w:style>
  <w:style w:type="character" w:customStyle="1" w:styleId="FontStyle190">
    <w:name w:val="Font Style190"/>
    <w:rsid w:val="00912CD7"/>
    <w:rPr>
      <w:rFonts w:ascii="Times New Roman" w:hAnsi="Times New Roman" w:cs="Times New Roman" w:hint="default"/>
      <w:sz w:val="20"/>
      <w:szCs w:val="20"/>
    </w:rPr>
  </w:style>
  <w:style w:type="character" w:styleId="a6">
    <w:name w:val="Strong"/>
    <w:basedOn w:val="a0"/>
    <w:uiPriority w:val="22"/>
    <w:qFormat/>
    <w:rsid w:val="00912C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CD7"/>
    <w:pPr>
      <w:spacing w:after="0" w:line="240" w:lineRule="auto"/>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12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912CD7"/>
    <w:rPr>
      <w:rFonts w:ascii="Courier New" w:eastAsia="Times New Roman" w:hAnsi="Courier New" w:cs="Courier New"/>
      <w:sz w:val="20"/>
      <w:szCs w:val="20"/>
      <w:lang w:eastAsia="ru-RU"/>
    </w:rPr>
  </w:style>
  <w:style w:type="paragraph" w:styleId="a3">
    <w:name w:val="Normal (Web)"/>
    <w:basedOn w:val="a"/>
    <w:uiPriority w:val="99"/>
    <w:semiHidden/>
    <w:unhideWhenUsed/>
    <w:rsid w:val="00912CD7"/>
    <w:pPr>
      <w:spacing w:before="100" w:beforeAutospacing="1" w:after="100" w:afterAutospacing="1"/>
    </w:pPr>
    <w:rPr>
      <w:color w:val="auto"/>
      <w:sz w:val="24"/>
      <w:szCs w:val="24"/>
    </w:rPr>
  </w:style>
  <w:style w:type="paragraph" w:styleId="a4">
    <w:name w:val="No Spacing"/>
    <w:uiPriority w:val="1"/>
    <w:qFormat/>
    <w:rsid w:val="00912CD7"/>
    <w:pPr>
      <w:spacing w:after="0" w:line="240" w:lineRule="auto"/>
    </w:pPr>
    <w:rPr>
      <w:rFonts w:ascii="Calibri" w:eastAsia="Calibri" w:hAnsi="Calibri" w:cs="Times New Roman"/>
      <w:lang w:val="uk-UA"/>
    </w:rPr>
  </w:style>
  <w:style w:type="paragraph" w:styleId="a5">
    <w:name w:val="List Paragraph"/>
    <w:basedOn w:val="a"/>
    <w:uiPriority w:val="34"/>
    <w:qFormat/>
    <w:rsid w:val="00912CD7"/>
    <w:pPr>
      <w:ind w:left="708"/>
    </w:pPr>
    <w:rPr>
      <w:color w:val="auto"/>
      <w:sz w:val="20"/>
      <w:szCs w:val="20"/>
      <w:lang w:val="en-GB"/>
    </w:rPr>
  </w:style>
  <w:style w:type="character" w:customStyle="1" w:styleId="FontStyle190">
    <w:name w:val="Font Style190"/>
    <w:rsid w:val="00912CD7"/>
    <w:rPr>
      <w:rFonts w:ascii="Times New Roman" w:hAnsi="Times New Roman" w:cs="Times New Roman" w:hint="default"/>
      <w:sz w:val="20"/>
      <w:szCs w:val="20"/>
    </w:rPr>
  </w:style>
  <w:style w:type="character" w:styleId="a6">
    <w:name w:val="Strong"/>
    <w:basedOn w:val="a0"/>
    <w:uiPriority w:val="22"/>
    <w:qFormat/>
    <w:rsid w:val="00912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press.ua/tags/%D0%A3%D0%B3%D0%BE%D1%80%D1%89%D0%B8%D0%BD%D0%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4565</Words>
  <Characters>26026</Characters>
  <Application>Microsoft Office Word</Application>
  <DocSecurity>0</DocSecurity>
  <Lines>216</Lines>
  <Paragraphs>61</Paragraphs>
  <ScaleCrop>false</ScaleCrop>
  <Company/>
  <LinksUpToDate>false</LinksUpToDate>
  <CharactersWithSpaces>30530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3</cp:revision>
  <dcterms:created xsi:type="dcterms:W3CDTF">2013-07-18T09:17:00Z</dcterms:created>
  <dcterms:modified xsi:type="dcterms:W3CDTF">2013-07-18T09:17:00Z</dcterms:modified>
</cp:coreProperties>
</file>