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03" w:rsidRDefault="00161703" w:rsidP="00161703">
      <w:pPr>
        <w:rPr>
          <w:rFonts w:ascii="Times New Roman" w:hAnsi="Times New Roman"/>
          <w:b/>
          <w:sz w:val="26"/>
          <w:szCs w:val="26"/>
          <w:lang w:val="uk-UA"/>
        </w:rPr>
      </w:pPr>
    </w:p>
    <w:p w:rsidR="00161703" w:rsidRDefault="00161703" w:rsidP="00161703">
      <w:pPr>
        <w:rPr>
          <w:rFonts w:ascii="Times New Roman" w:hAnsi="Times New Roman"/>
          <w:b/>
          <w:sz w:val="26"/>
          <w:szCs w:val="26"/>
          <w:lang w:val="uk-UA"/>
        </w:rPr>
      </w:pPr>
      <w:bookmarkStart w:id="0" w:name="_GoBack"/>
      <w:r w:rsidRPr="006F7D5D">
        <w:rPr>
          <w:rFonts w:ascii="Times New Roman" w:hAnsi="Times New Roman"/>
          <w:b/>
          <w:sz w:val="26"/>
          <w:szCs w:val="26"/>
          <w:lang w:val="uk-UA"/>
        </w:rPr>
        <w:t>3.1. Характеристика території реалізації проекту</w:t>
      </w:r>
    </w:p>
    <w:bookmarkEnd w:id="0"/>
    <w:p w:rsidR="00161703" w:rsidRPr="006F7D5D" w:rsidRDefault="00161703" w:rsidP="00161703">
      <w:pPr>
        <w:rPr>
          <w:rFonts w:ascii="Times New Roman" w:hAnsi="Times New Roman"/>
          <w:b/>
          <w:sz w:val="26"/>
          <w:szCs w:val="26"/>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78105</wp:posOffset>
                </wp:positionV>
                <wp:extent cx="6067425" cy="0"/>
                <wp:effectExtent l="8890" t="13335" r="86360" b="819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pt;margin-top:6.1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">
                <v:shadow on="t" opacity=".5" offset="6pt,6pt"/>
              </v:shape>
            </w:pict>
          </mc:Fallback>
        </mc:AlternateContent>
      </w:r>
    </w:p>
    <w:p w:rsidR="00161703" w:rsidRDefault="00161703" w:rsidP="00161703">
      <w:pPr>
        <w:pStyle w:val="a6"/>
        <w:ind w:left="709" w:hanging="709"/>
        <w:jc w:val="center"/>
        <w:rPr>
          <w:rStyle w:val="a3"/>
          <w:rFonts w:ascii="Times New Roman" w:hAnsi="Times New Roman"/>
          <w:b w:val="0"/>
          <w:bCs/>
          <w:i/>
          <w:sz w:val="26"/>
          <w:szCs w:val="26"/>
          <w:lang w:val="uk-UA"/>
        </w:rPr>
      </w:pPr>
    </w:p>
    <w:p w:rsidR="00161703" w:rsidRPr="009B719C" w:rsidRDefault="00161703" w:rsidP="00161703">
      <w:pPr>
        <w:pStyle w:val="a6"/>
        <w:ind w:left="709" w:hanging="709"/>
        <w:jc w:val="center"/>
        <w:rPr>
          <w:rStyle w:val="a3"/>
          <w:rFonts w:ascii="Times New Roman" w:hAnsi="Times New Roman"/>
          <w:b w:val="0"/>
          <w:bCs/>
          <w:i/>
          <w:sz w:val="26"/>
          <w:szCs w:val="26"/>
          <w:lang w:val="uk-UA"/>
        </w:rPr>
      </w:pPr>
      <w:r w:rsidRPr="009B719C">
        <w:rPr>
          <w:rStyle w:val="a3"/>
          <w:rFonts w:ascii="Times New Roman" w:hAnsi="Times New Roman"/>
          <w:bCs/>
          <w:i/>
          <w:sz w:val="26"/>
          <w:szCs w:val="26"/>
          <w:lang w:val="uk-UA"/>
        </w:rPr>
        <w:t>Загальна характеристика Харківської області</w:t>
      </w:r>
    </w:p>
    <w:p w:rsidR="00161703" w:rsidRPr="009B719C" w:rsidRDefault="00161703" w:rsidP="00161703">
      <w:pPr>
        <w:pStyle w:val="a6"/>
        <w:ind w:left="0"/>
        <w:rPr>
          <w:rFonts w:ascii="Times New Roman" w:hAnsi="Times New Roman"/>
          <w:sz w:val="26"/>
          <w:szCs w:val="26"/>
          <w:lang w:val="uk-UA"/>
        </w:rPr>
      </w:pPr>
      <w:r w:rsidRPr="009B719C">
        <w:rPr>
          <w:rStyle w:val="a3"/>
          <w:rFonts w:ascii="Times New Roman" w:hAnsi="Times New Roman"/>
          <w:bCs/>
          <w:sz w:val="26"/>
          <w:szCs w:val="26"/>
          <w:lang w:val="uk-UA"/>
        </w:rPr>
        <w:t>Х</w:t>
      </w:r>
      <w:r w:rsidRPr="009B719C">
        <w:rPr>
          <w:rFonts w:ascii="Times New Roman" w:hAnsi="Times New Roman"/>
          <w:sz w:val="26"/>
          <w:szCs w:val="26"/>
          <w:lang w:val="uk-UA"/>
        </w:rPr>
        <w:t>арківська область розташована на північному сході України. На півночі і північному сході Харківська область межує з Бєлгородською областю Російської Федерації, на сході — з Луганською, на південному сході — з Донецькою, на південному заході — з Дніпропетровською, на заході і північному заході — з Полтавською та Сумською областями України.</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Територія Харківської області — 31,4 тис. км (5,2 % території України).</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Територію області перетинають магістральні залізні і шосейні дороги, через які вона має вихід до Донбасу, Криму, Кавказу, до портів Чорного, Азовського і Балтійського морів, до багатьох індустріальних центрів за межами України. </w:t>
      </w:r>
    </w:p>
    <w:p w:rsidR="00161703" w:rsidRPr="009B719C" w:rsidRDefault="00161703" w:rsidP="00161703">
      <w:pPr>
        <w:pStyle w:val="a6"/>
        <w:ind w:left="0"/>
        <w:rPr>
          <w:rFonts w:ascii="Times New Roman" w:hAnsi="Times New Roman"/>
          <w:sz w:val="26"/>
          <w:szCs w:val="26"/>
          <w:lang w:val="uk-UA"/>
        </w:rPr>
      </w:pPr>
      <w:r w:rsidRPr="009B719C">
        <w:rPr>
          <w:rStyle w:val="a3"/>
          <w:rFonts w:ascii="Times New Roman" w:hAnsi="Times New Roman"/>
          <w:bCs/>
          <w:sz w:val="26"/>
          <w:szCs w:val="26"/>
          <w:lang w:val="uk-UA"/>
        </w:rPr>
        <w:t>К</w:t>
      </w:r>
      <w:r w:rsidRPr="009B719C">
        <w:rPr>
          <w:rFonts w:ascii="Times New Roman" w:hAnsi="Times New Roman"/>
          <w:sz w:val="26"/>
          <w:szCs w:val="26"/>
          <w:lang w:val="uk-UA"/>
        </w:rPr>
        <w:t>орисні копалини в області представлені природним газом (</w:t>
      </w:r>
      <w:proofErr w:type="spellStart"/>
      <w:r>
        <w:rPr>
          <w:rFonts w:ascii="Times New Roman" w:hAnsi="Times New Roman"/>
          <w:sz w:val="26"/>
          <w:szCs w:val="26"/>
          <w:lang w:val="uk-UA"/>
        </w:rPr>
        <w:t>Є</w:t>
      </w:r>
      <w:r w:rsidRPr="009B719C">
        <w:rPr>
          <w:rFonts w:ascii="Times New Roman" w:hAnsi="Times New Roman"/>
          <w:sz w:val="26"/>
          <w:szCs w:val="26"/>
          <w:lang w:val="uk-UA"/>
        </w:rPr>
        <w:t>фремівське</w:t>
      </w:r>
      <w:proofErr w:type="spellEnd"/>
      <w:r w:rsidRPr="009B719C">
        <w:rPr>
          <w:rFonts w:ascii="Times New Roman" w:hAnsi="Times New Roman"/>
          <w:sz w:val="26"/>
          <w:szCs w:val="26"/>
          <w:lang w:val="uk-UA"/>
        </w:rPr>
        <w:t xml:space="preserve">, </w:t>
      </w:r>
      <w:proofErr w:type="spellStart"/>
      <w:r w:rsidRPr="009B719C">
        <w:rPr>
          <w:rFonts w:ascii="Times New Roman" w:hAnsi="Times New Roman"/>
          <w:sz w:val="26"/>
          <w:szCs w:val="26"/>
          <w:lang w:val="uk-UA"/>
        </w:rPr>
        <w:t>Західно-Крестищенське</w:t>
      </w:r>
      <w:proofErr w:type="spellEnd"/>
      <w:r w:rsidRPr="009B719C">
        <w:rPr>
          <w:rFonts w:ascii="Times New Roman" w:hAnsi="Times New Roman"/>
          <w:sz w:val="26"/>
          <w:szCs w:val="26"/>
          <w:lang w:val="uk-UA"/>
        </w:rPr>
        <w:t xml:space="preserve">, </w:t>
      </w:r>
      <w:proofErr w:type="spellStart"/>
      <w:r w:rsidRPr="009B719C">
        <w:rPr>
          <w:rFonts w:ascii="Times New Roman" w:hAnsi="Times New Roman"/>
          <w:sz w:val="26"/>
          <w:szCs w:val="26"/>
          <w:lang w:val="uk-UA"/>
        </w:rPr>
        <w:t>Кегичівське</w:t>
      </w:r>
      <w:proofErr w:type="spellEnd"/>
      <w:r w:rsidRPr="009B719C">
        <w:rPr>
          <w:rFonts w:ascii="Times New Roman" w:hAnsi="Times New Roman"/>
          <w:sz w:val="26"/>
          <w:szCs w:val="26"/>
          <w:lang w:val="uk-UA"/>
        </w:rPr>
        <w:t xml:space="preserve"> та інші родовища), нафтою, кам'яним і бурим вугіллям, кам'яною сіллю, фосфоритами, </w:t>
      </w:r>
      <w:proofErr w:type="spellStart"/>
      <w:r w:rsidRPr="009B719C">
        <w:rPr>
          <w:rFonts w:ascii="Times New Roman" w:hAnsi="Times New Roman"/>
          <w:sz w:val="26"/>
          <w:szCs w:val="26"/>
          <w:lang w:val="uk-UA"/>
        </w:rPr>
        <w:t>охрою</w:t>
      </w:r>
      <w:proofErr w:type="spellEnd"/>
      <w:r w:rsidRPr="009B719C">
        <w:rPr>
          <w:rFonts w:ascii="Times New Roman" w:hAnsi="Times New Roman"/>
          <w:sz w:val="26"/>
          <w:szCs w:val="26"/>
          <w:lang w:val="uk-UA"/>
        </w:rPr>
        <w:t xml:space="preserve">, глиною, пісками, вапняками, крейдою тощо.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Загальна площа сільськогосподарських угідь області - більше 2,4 млн. га. Площа орних земель – 1,9 млн. га.</w:t>
      </w:r>
    </w:p>
    <w:p w:rsidR="00161703" w:rsidRPr="009B719C" w:rsidRDefault="00161703" w:rsidP="00161703">
      <w:pPr>
        <w:pStyle w:val="a6"/>
        <w:ind w:left="709" w:hanging="709"/>
        <w:jc w:val="center"/>
        <w:rPr>
          <w:rFonts w:ascii="Times New Roman" w:hAnsi="Times New Roman"/>
          <w:i/>
          <w:sz w:val="26"/>
          <w:szCs w:val="26"/>
          <w:lang w:val="uk-UA"/>
        </w:rPr>
      </w:pPr>
      <w:r w:rsidRPr="009B719C">
        <w:rPr>
          <w:rFonts w:ascii="Times New Roman" w:hAnsi="Times New Roman"/>
          <w:i/>
          <w:sz w:val="26"/>
          <w:szCs w:val="26"/>
          <w:lang w:val="uk-UA"/>
        </w:rPr>
        <w:t>Макроекономічні показники</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Харківська область має досить розвинену ринкову інфраструктуру, промисловість, сільське господарство. За обсягом ВРП Харківська область займає одне з провідних місць серед регіонів України.</w:t>
      </w:r>
    </w:p>
    <w:p w:rsidR="00161703" w:rsidRPr="009B719C" w:rsidRDefault="00161703" w:rsidP="00161703">
      <w:pPr>
        <w:pStyle w:val="a6"/>
        <w:ind w:left="709" w:hanging="709"/>
        <w:jc w:val="center"/>
        <w:rPr>
          <w:rFonts w:ascii="Times New Roman" w:hAnsi="Times New Roman"/>
          <w:b/>
          <w:color w:val="FF0000"/>
          <w:sz w:val="26"/>
          <w:szCs w:val="26"/>
          <w:lang w:val="uk-UA"/>
        </w:rPr>
      </w:pPr>
      <w:r>
        <w:rPr>
          <w:rFonts w:ascii="Times New Roman" w:hAnsi="Times New Roman"/>
          <w:noProof/>
          <w:sz w:val="26"/>
          <w:szCs w:val="26"/>
          <w:lang w:eastAsia="ru-RU"/>
        </w:rPr>
        <w:drawing>
          <wp:inline distT="0" distB="0" distL="0" distR="0">
            <wp:extent cx="4075430" cy="1929765"/>
            <wp:effectExtent l="0" t="0" r="20320" b="1333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1703" w:rsidRPr="009B719C" w:rsidRDefault="00161703" w:rsidP="00161703">
      <w:pPr>
        <w:pStyle w:val="a6"/>
        <w:ind w:left="0" w:firstLine="0"/>
        <w:jc w:val="center"/>
        <w:rPr>
          <w:rFonts w:ascii="Times New Roman" w:hAnsi="Times New Roman"/>
          <w:sz w:val="26"/>
          <w:szCs w:val="26"/>
          <w:lang w:val="uk-UA"/>
        </w:rPr>
      </w:pPr>
      <w:r>
        <w:rPr>
          <w:rFonts w:ascii="Times New Roman" w:hAnsi="Times New Roman"/>
          <w:sz w:val="26"/>
          <w:szCs w:val="26"/>
          <w:lang w:val="uk-UA"/>
        </w:rPr>
        <w:t>Рисунок</w:t>
      </w:r>
      <w:r w:rsidRPr="009B719C">
        <w:rPr>
          <w:rFonts w:ascii="Times New Roman" w:hAnsi="Times New Roman"/>
          <w:sz w:val="26"/>
          <w:szCs w:val="26"/>
          <w:lang w:val="uk-UA"/>
        </w:rPr>
        <w:t xml:space="preserve"> 3.1 – Динаміка долі ВРП Харківської області  в об'ємі ВРП України</w:t>
      </w:r>
    </w:p>
    <w:p w:rsidR="00161703" w:rsidRPr="009B719C" w:rsidRDefault="00161703" w:rsidP="00161703">
      <w:pPr>
        <w:pStyle w:val="a6"/>
        <w:ind w:left="709" w:hanging="709"/>
        <w:jc w:val="center"/>
        <w:rPr>
          <w:rFonts w:ascii="Times New Roman" w:hAnsi="Times New Roman"/>
          <w:b/>
          <w:color w:val="FF0000"/>
          <w:sz w:val="26"/>
          <w:szCs w:val="26"/>
          <w:lang w:val="uk-UA"/>
        </w:rPr>
      </w:pPr>
      <w:r>
        <w:rPr>
          <w:rFonts w:ascii="Times New Roman" w:hAnsi="Times New Roman"/>
          <w:noProof/>
          <w:sz w:val="26"/>
          <w:szCs w:val="26"/>
          <w:lang w:eastAsia="ru-RU"/>
        </w:rPr>
        <w:lastRenderedPageBreak/>
        <w:drawing>
          <wp:inline distT="0" distB="0" distL="0" distR="0">
            <wp:extent cx="3920490" cy="2045335"/>
            <wp:effectExtent l="0" t="0" r="22860" b="1206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1703" w:rsidRPr="009B719C" w:rsidRDefault="00161703" w:rsidP="00161703">
      <w:pPr>
        <w:pStyle w:val="a6"/>
        <w:ind w:left="0" w:firstLine="0"/>
        <w:jc w:val="center"/>
        <w:rPr>
          <w:rFonts w:ascii="Times New Roman" w:hAnsi="Times New Roman"/>
          <w:color w:val="FF0000"/>
          <w:sz w:val="26"/>
          <w:szCs w:val="26"/>
          <w:lang w:val="uk-UA"/>
        </w:rPr>
      </w:pPr>
      <w:r>
        <w:rPr>
          <w:rFonts w:ascii="Times New Roman" w:hAnsi="Times New Roman"/>
          <w:sz w:val="26"/>
          <w:szCs w:val="26"/>
          <w:lang w:val="uk-UA"/>
        </w:rPr>
        <w:t>Рисунок</w:t>
      </w:r>
      <w:r w:rsidRPr="009B719C">
        <w:rPr>
          <w:rFonts w:ascii="Times New Roman" w:hAnsi="Times New Roman"/>
          <w:sz w:val="26"/>
          <w:szCs w:val="26"/>
          <w:lang w:val="uk-UA"/>
        </w:rPr>
        <w:t xml:space="preserve"> 3.2 – Динаміка обсягу ВРП Харківської області і України з розрахунку на одну особу</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Відмінною рисою Харківської області є один з найвищих в Україні інтелектуальний, промисловий, ресурсний і транспортний потенціал.</w:t>
      </w:r>
    </w:p>
    <w:p w:rsidR="00161703" w:rsidRPr="006F7D5D" w:rsidRDefault="00161703" w:rsidP="00161703">
      <w:pPr>
        <w:pStyle w:val="a6"/>
        <w:ind w:left="0"/>
        <w:rPr>
          <w:rFonts w:ascii="Times New Roman" w:hAnsi="Times New Roman"/>
          <w:sz w:val="26"/>
          <w:szCs w:val="26"/>
          <w:lang w:val="uk-UA"/>
        </w:rPr>
      </w:pPr>
      <w:r w:rsidRPr="006F7D5D">
        <w:rPr>
          <w:rFonts w:ascii="Times New Roman" w:hAnsi="Times New Roman"/>
          <w:sz w:val="26"/>
          <w:szCs w:val="26"/>
          <w:lang w:val="uk-UA"/>
        </w:rPr>
        <w:t>Харківська область залишається однією з найбільш промислово розвинених областей України, в якій зосереджено понад 770 промислових підприємств.</w:t>
      </w:r>
    </w:p>
    <w:p w:rsidR="00161703" w:rsidRPr="006F7D5D" w:rsidRDefault="00161703" w:rsidP="00161703">
      <w:pPr>
        <w:pStyle w:val="a6"/>
        <w:ind w:left="0"/>
        <w:rPr>
          <w:rFonts w:ascii="Times New Roman" w:hAnsi="Times New Roman"/>
          <w:sz w:val="26"/>
          <w:szCs w:val="26"/>
          <w:lang w:val="uk-UA"/>
        </w:rPr>
      </w:pPr>
      <w:r w:rsidRPr="006F7D5D">
        <w:rPr>
          <w:rFonts w:ascii="Times New Roman" w:hAnsi="Times New Roman"/>
          <w:sz w:val="26"/>
          <w:szCs w:val="26"/>
        </w:rPr>
        <w:t>Таблиц</w:t>
      </w:r>
      <w:r w:rsidRPr="006F7D5D">
        <w:rPr>
          <w:rFonts w:ascii="Times New Roman" w:hAnsi="Times New Roman"/>
          <w:sz w:val="26"/>
          <w:szCs w:val="26"/>
          <w:lang w:val="uk-UA"/>
        </w:rPr>
        <w:t>я</w:t>
      </w:r>
      <w:r w:rsidRPr="006F7D5D">
        <w:rPr>
          <w:rFonts w:ascii="Times New Roman" w:hAnsi="Times New Roman"/>
          <w:sz w:val="26"/>
          <w:szCs w:val="26"/>
        </w:rPr>
        <w:t xml:space="preserve"> 3.1</w:t>
      </w:r>
      <w:r w:rsidRPr="006F7D5D">
        <w:rPr>
          <w:rFonts w:ascii="Times New Roman" w:hAnsi="Times New Roman"/>
          <w:sz w:val="26"/>
          <w:szCs w:val="26"/>
          <w:lang w:val="uk-UA"/>
        </w:rPr>
        <w:t xml:space="preserve"> – Основні показники </w:t>
      </w:r>
      <w:proofErr w:type="gramStart"/>
      <w:r w:rsidRPr="006F7D5D">
        <w:rPr>
          <w:rFonts w:ascii="Times New Roman" w:hAnsi="Times New Roman"/>
          <w:sz w:val="26"/>
          <w:szCs w:val="26"/>
          <w:lang w:val="uk-UA"/>
        </w:rPr>
        <w:t>соц</w:t>
      </w:r>
      <w:proofErr w:type="gramEnd"/>
      <w:r w:rsidRPr="006F7D5D">
        <w:rPr>
          <w:rFonts w:ascii="Times New Roman" w:hAnsi="Times New Roman"/>
          <w:sz w:val="26"/>
          <w:szCs w:val="26"/>
          <w:lang w:val="uk-UA"/>
        </w:rPr>
        <w:t>іально-економічного розвитку Харківської області та України за 2011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5"/>
        <w:gridCol w:w="1551"/>
        <w:gridCol w:w="1395"/>
      </w:tblGrid>
      <w:tr w:rsidR="00161703" w:rsidRPr="009B719C" w:rsidTr="0050487F">
        <w:trPr>
          <w:trHeight w:val="448"/>
        </w:trPr>
        <w:tc>
          <w:tcPr>
            <w:tcW w:w="3461" w:type="pct"/>
            <w:vMerge w:val="restart"/>
          </w:tcPr>
          <w:p w:rsidR="00161703" w:rsidRPr="006C63C4" w:rsidRDefault="00161703" w:rsidP="0050487F">
            <w:pPr>
              <w:spacing w:line="240" w:lineRule="auto"/>
              <w:ind w:firstLine="0"/>
              <w:jc w:val="center"/>
              <w:rPr>
                <w:rFonts w:ascii="Times New Roman" w:hAnsi="Times New Roman"/>
                <w:sz w:val="26"/>
                <w:szCs w:val="26"/>
                <w:lang w:val="uk-UA"/>
              </w:rPr>
            </w:pPr>
            <w:r w:rsidRPr="006C63C4">
              <w:rPr>
                <w:rFonts w:ascii="Times New Roman" w:hAnsi="Times New Roman"/>
                <w:sz w:val="26"/>
                <w:szCs w:val="26"/>
                <w:lang w:val="uk-UA"/>
              </w:rPr>
              <w:t>Показник</w:t>
            </w:r>
          </w:p>
        </w:tc>
        <w:tc>
          <w:tcPr>
            <w:tcW w:w="810" w:type="pct"/>
            <w:vMerge w:val="restart"/>
          </w:tcPr>
          <w:p w:rsidR="00161703" w:rsidRPr="006C63C4" w:rsidRDefault="00161703" w:rsidP="0050487F">
            <w:pPr>
              <w:tabs>
                <w:tab w:val="left" w:pos="1134"/>
              </w:tabs>
              <w:spacing w:line="240" w:lineRule="auto"/>
              <w:ind w:firstLine="0"/>
              <w:jc w:val="center"/>
              <w:rPr>
                <w:rFonts w:ascii="Times New Roman" w:hAnsi="Times New Roman"/>
                <w:sz w:val="26"/>
                <w:szCs w:val="26"/>
                <w:lang w:val="uk-UA"/>
              </w:rPr>
            </w:pPr>
            <w:r w:rsidRPr="006C63C4">
              <w:rPr>
                <w:rFonts w:ascii="Times New Roman" w:hAnsi="Times New Roman"/>
                <w:sz w:val="26"/>
                <w:szCs w:val="26"/>
                <w:lang w:val="uk-UA"/>
              </w:rPr>
              <w:t>Харківська область</w:t>
            </w:r>
          </w:p>
        </w:tc>
        <w:tc>
          <w:tcPr>
            <w:tcW w:w="729" w:type="pct"/>
            <w:vMerge w:val="restart"/>
          </w:tcPr>
          <w:p w:rsidR="00161703" w:rsidRPr="006C63C4" w:rsidRDefault="00161703" w:rsidP="0050487F">
            <w:pPr>
              <w:tabs>
                <w:tab w:val="left" w:pos="1134"/>
              </w:tabs>
              <w:spacing w:line="240" w:lineRule="auto"/>
              <w:ind w:firstLine="0"/>
              <w:jc w:val="center"/>
              <w:rPr>
                <w:rFonts w:ascii="Times New Roman" w:hAnsi="Times New Roman"/>
                <w:sz w:val="26"/>
                <w:szCs w:val="26"/>
                <w:lang w:val="uk-UA"/>
              </w:rPr>
            </w:pPr>
            <w:r w:rsidRPr="006C63C4">
              <w:rPr>
                <w:rFonts w:ascii="Times New Roman" w:hAnsi="Times New Roman"/>
                <w:sz w:val="26"/>
                <w:szCs w:val="26"/>
                <w:lang w:val="uk-UA"/>
              </w:rPr>
              <w:t>Україна</w:t>
            </w:r>
          </w:p>
        </w:tc>
      </w:tr>
      <w:tr w:rsidR="00161703" w:rsidRPr="009B719C" w:rsidTr="0050487F">
        <w:trPr>
          <w:trHeight w:val="448"/>
        </w:trPr>
        <w:tc>
          <w:tcPr>
            <w:tcW w:w="3461" w:type="pct"/>
            <w:vMerge/>
          </w:tcPr>
          <w:p w:rsidR="00161703" w:rsidRPr="006C63C4" w:rsidRDefault="00161703" w:rsidP="0050487F">
            <w:pPr>
              <w:tabs>
                <w:tab w:val="left" w:pos="1134"/>
              </w:tabs>
              <w:ind w:firstLine="0"/>
              <w:rPr>
                <w:rFonts w:ascii="Times New Roman" w:hAnsi="Times New Roman"/>
                <w:b/>
                <w:sz w:val="26"/>
                <w:szCs w:val="26"/>
                <w:lang w:val="uk-UA"/>
              </w:rPr>
            </w:pPr>
          </w:p>
        </w:tc>
        <w:tc>
          <w:tcPr>
            <w:tcW w:w="810" w:type="pct"/>
            <w:vMerge/>
          </w:tcPr>
          <w:p w:rsidR="00161703" w:rsidRPr="006C63C4" w:rsidRDefault="00161703" w:rsidP="0050487F">
            <w:pPr>
              <w:tabs>
                <w:tab w:val="left" w:pos="1134"/>
              </w:tabs>
              <w:ind w:firstLine="0"/>
              <w:rPr>
                <w:rFonts w:ascii="Times New Roman" w:hAnsi="Times New Roman"/>
                <w:b/>
                <w:sz w:val="26"/>
                <w:szCs w:val="26"/>
                <w:lang w:val="uk-UA"/>
              </w:rPr>
            </w:pPr>
          </w:p>
        </w:tc>
        <w:tc>
          <w:tcPr>
            <w:tcW w:w="729" w:type="pct"/>
            <w:vMerge/>
          </w:tcPr>
          <w:p w:rsidR="00161703" w:rsidRPr="006C63C4" w:rsidRDefault="00161703" w:rsidP="0050487F">
            <w:pPr>
              <w:tabs>
                <w:tab w:val="left" w:pos="1134"/>
              </w:tabs>
              <w:ind w:firstLine="0"/>
              <w:rPr>
                <w:rFonts w:ascii="Times New Roman" w:hAnsi="Times New Roman"/>
                <w:b/>
                <w:sz w:val="26"/>
                <w:szCs w:val="26"/>
                <w:lang w:val="uk-UA"/>
              </w:rPr>
            </w:pP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Промислове виробництво, % до попереднього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105,5%</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107,6%</w:t>
            </w:r>
          </w:p>
        </w:tc>
      </w:tr>
      <w:tr w:rsidR="00161703" w:rsidRPr="009B719C" w:rsidTr="0050487F">
        <w:tc>
          <w:tcPr>
            <w:tcW w:w="3461" w:type="pct"/>
          </w:tcPr>
          <w:p w:rsidR="00161703" w:rsidRPr="006C63C4" w:rsidRDefault="00161703" w:rsidP="0050487F">
            <w:pPr>
              <w:ind w:firstLine="0"/>
              <w:rPr>
                <w:rFonts w:ascii="Times New Roman" w:hAnsi="Times New Roman"/>
                <w:b/>
                <w:sz w:val="26"/>
                <w:szCs w:val="26"/>
                <w:lang w:val="uk-UA"/>
              </w:rPr>
            </w:pPr>
            <w:r w:rsidRPr="006C63C4">
              <w:rPr>
                <w:rFonts w:ascii="Times New Roman" w:hAnsi="Times New Roman"/>
                <w:sz w:val="26"/>
                <w:szCs w:val="26"/>
                <w:lang w:val="uk-UA"/>
              </w:rPr>
              <w:t>Сільське господарство, % до попереднього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141,6%</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117,5%</w:t>
            </w:r>
          </w:p>
        </w:tc>
      </w:tr>
      <w:tr w:rsidR="00161703" w:rsidRPr="009B719C" w:rsidTr="0050487F">
        <w:tc>
          <w:tcPr>
            <w:tcW w:w="3461" w:type="pct"/>
          </w:tcPr>
          <w:p w:rsidR="00161703" w:rsidRPr="006C63C4" w:rsidRDefault="00161703" w:rsidP="0050487F">
            <w:pPr>
              <w:ind w:firstLine="0"/>
              <w:rPr>
                <w:rFonts w:ascii="Times New Roman" w:hAnsi="Times New Roman"/>
                <w:b/>
                <w:sz w:val="26"/>
                <w:szCs w:val="26"/>
                <w:lang w:val="uk-UA"/>
              </w:rPr>
            </w:pPr>
            <w:r w:rsidRPr="006C63C4">
              <w:rPr>
                <w:rFonts w:ascii="Times New Roman" w:hAnsi="Times New Roman"/>
                <w:sz w:val="26"/>
                <w:szCs w:val="26"/>
                <w:lang w:val="uk-UA"/>
              </w:rPr>
              <w:t>Будівництво, % до попереднього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102,4%</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111,0%</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Будівництво житла, % до попереднього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80,5%</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100,8</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 xml:space="preserve">Введення в експлуатацію житла, тис. </w:t>
            </w:r>
            <w:proofErr w:type="spellStart"/>
            <w:r w:rsidRPr="006C63C4">
              <w:rPr>
                <w:rFonts w:ascii="Times New Roman" w:hAnsi="Times New Roman"/>
                <w:sz w:val="26"/>
                <w:szCs w:val="26"/>
                <w:lang w:val="uk-UA"/>
              </w:rPr>
              <w:t>кв.м</w:t>
            </w:r>
            <w:proofErr w:type="spellEnd"/>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334,9</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9410,4</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Обсяг прямих іноземних інвестицій, млн. USD</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142,2</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6473,1</w:t>
            </w:r>
          </w:p>
        </w:tc>
      </w:tr>
    </w:tbl>
    <w:p w:rsidR="00161703" w:rsidRPr="004D3C09" w:rsidRDefault="00161703" w:rsidP="00161703">
      <w:pPr>
        <w:rPr>
          <w:rFonts w:ascii="Times New Roman" w:hAnsi="Times New Roman"/>
          <w:sz w:val="26"/>
          <w:szCs w:val="26"/>
          <w:lang w:val="uk-UA"/>
        </w:rPr>
      </w:pPr>
      <w:r>
        <w:br w:type="page"/>
      </w:r>
      <w:r w:rsidRPr="004D3C09">
        <w:rPr>
          <w:rFonts w:ascii="Times New Roman" w:hAnsi="Times New Roman"/>
          <w:sz w:val="26"/>
          <w:szCs w:val="26"/>
          <w:lang w:val="uk-UA"/>
        </w:rPr>
        <w:lastRenderedPageBreak/>
        <w:t>Продовження таблиці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5"/>
        <w:gridCol w:w="1551"/>
        <w:gridCol w:w="1395"/>
      </w:tblGrid>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Вантажообіг, % до попереднього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103,0%</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105,7%</w:t>
            </w:r>
          </w:p>
        </w:tc>
      </w:tr>
      <w:tr w:rsidR="00161703" w:rsidRPr="009B719C" w:rsidTr="0050487F">
        <w:tc>
          <w:tcPr>
            <w:tcW w:w="3461" w:type="pct"/>
          </w:tcPr>
          <w:p w:rsidR="00161703" w:rsidRPr="006C63C4" w:rsidRDefault="00161703" w:rsidP="0050487F">
            <w:pPr>
              <w:spacing w:line="240" w:lineRule="auto"/>
              <w:ind w:firstLine="0"/>
              <w:rPr>
                <w:rFonts w:ascii="Times New Roman" w:hAnsi="Times New Roman"/>
                <w:sz w:val="26"/>
                <w:szCs w:val="26"/>
                <w:lang w:val="uk-UA"/>
              </w:rPr>
            </w:pPr>
            <w:r w:rsidRPr="006C63C4">
              <w:rPr>
                <w:rFonts w:ascii="Times New Roman" w:hAnsi="Times New Roman"/>
                <w:sz w:val="26"/>
                <w:szCs w:val="26"/>
                <w:lang w:val="uk-UA"/>
              </w:rPr>
              <w:t>Обсяг роздрібного товарообороту, % до попереднього року</w:t>
            </w:r>
          </w:p>
        </w:tc>
        <w:tc>
          <w:tcPr>
            <w:tcW w:w="810" w:type="pct"/>
          </w:tcPr>
          <w:p w:rsidR="00161703" w:rsidRPr="006C63C4" w:rsidRDefault="00161703" w:rsidP="0050487F">
            <w:pPr>
              <w:tabs>
                <w:tab w:val="left" w:pos="1134"/>
              </w:tabs>
              <w:spacing w:line="240" w:lineRule="auto"/>
              <w:ind w:firstLine="0"/>
              <w:rPr>
                <w:rFonts w:ascii="Times New Roman" w:hAnsi="Times New Roman"/>
                <w:sz w:val="26"/>
                <w:szCs w:val="26"/>
                <w:lang w:val="uk-UA"/>
              </w:rPr>
            </w:pPr>
            <w:r w:rsidRPr="006C63C4">
              <w:rPr>
                <w:rFonts w:ascii="Times New Roman" w:hAnsi="Times New Roman"/>
                <w:sz w:val="26"/>
                <w:szCs w:val="26"/>
                <w:lang w:val="uk-UA"/>
              </w:rPr>
              <w:t>112,2%</w:t>
            </w:r>
          </w:p>
        </w:tc>
        <w:tc>
          <w:tcPr>
            <w:tcW w:w="729" w:type="pct"/>
          </w:tcPr>
          <w:p w:rsidR="00161703" w:rsidRPr="006C63C4" w:rsidRDefault="00161703" w:rsidP="0050487F">
            <w:pPr>
              <w:tabs>
                <w:tab w:val="left" w:pos="1134"/>
              </w:tabs>
              <w:spacing w:line="240" w:lineRule="auto"/>
              <w:ind w:firstLine="0"/>
              <w:rPr>
                <w:rFonts w:ascii="Times New Roman" w:hAnsi="Times New Roman"/>
                <w:sz w:val="26"/>
                <w:szCs w:val="26"/>
                <w:lang w:val="uk-UA"/>
              </w:rPr>
            </w:pPr>
            <w:r w:rsidRPr="006C63C4">
              <w:rPr>
                <w:rFonts w:ascii="Times New Roman" w:hAnsi="Times New Roman"/>
                <w:sz w:val="26"/>
                <w:szCs w:val="26"/>
                <w:lang w:val="uk-UA"/>
              </w:rPr>
              <w:t>113,7%</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Середньомісячна номінальна зарплата, грн.</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2407</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2633</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Реальна зарплата, % до попереднього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108,7%</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108,7%</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Чисельність населення, млн. чол.</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2742,2</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45633,6</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Рівень безробіття на 01.01.2012 р.</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1,7%</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1,8%</w:t>
            </w:r>
          </w:p>
        </w:tc>
      </w:tr>
      <w:tr w:rsidR="00161703" w:rsidRPr="009B719C" w:rsidTr="0050487F">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Рівень зайнятості населення, %</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60,7%</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59,5%</w:t>
            </w:r>
          </w:p>
        </w:tc>
      </w:tr>
      <w:tr w:rsidR="00161703" w:rsidRPr="009B719C" w:rsidTr="0050487F">
        <w:trPr>
          <w:trHeight w:val="399"/>
        </w:trPr>
        <w:tc>
          <w:tcPr>
            <w:tcW w:w="3461" w:type="pct"/>
          </w:tcPr>
          <w:p w:rsidR="00161703" w:rsidRPr="006C63C4" w:rsidRDefault="00161703" w:rsidP="0050487F">
            <w:pPr>
              <w:ind w:firstLine="0"/>
              <w:rPr>
                <w:rFonts w:ascii="Times New Roman" w:hAnsi="Times New Roman"/>
                <w:sz w:val="26"/>
                <w:szCs w:val="26"/>
                <w:lang w:val="uk-UA"/>
              </w:rPr>
            </w:pPr>
            <w:r w:rsidRPr="006C63C4">
              <w:rPr>
                <w:rFonts w:ascii="Times New Roman" w:hAnsi="Times New Roman"/>
                <w:sz w:val="26"/>
                <w:szCs w:val="26"/>
                <w:lang w:val="uk-UA"/>
              </w:rPr>
              <w:t>Інфляція (з початку року)</w:t>
            </w:r>
          </w:p>
        </w:tc>
        <w:tc>
          <w:tcPr>
            <w:tcW w:w="810"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104,1%</w:t>
            </w:r>
          </w:p>
        </w:tc>
        <w:tc>
          <w:tcPr>
            <w:tcW w:w="729" w:type="pct"/>
          </w:tcPr>
          <w:p w:rsidR="00161703" w:rsidRPr="006C63C4" w:rsidRDefault="00161703" w:rsidP="0050487F">
            <w:pPr>
              <w:tabs>
                <w:tab w:val="left" w:pos="1134"/>
              </w:tabs>
              <w:ind w:firstLine="0"/>
              <w:rPr>
                <w:rFonts w:ascii="Times New Roman" w:hAnsi="Times New Roman"/>
                <w:sz w:val="26"/>
                <w:szCs w:val="26"/>
                <w:lang w:val="uk-UA"/>
              </w:rPr>
            </w:pPr>
            <w:r w:rsidRPr="006C63C4">
              <w:rPr>
                <w:rFonts w:ascii="Times New Roman" w:hAnsi="Times New Roman"/>
                <w:sz w:val="26"/>
                <w:szCs w:val="26"/>
                <w:lang w:val="uk-UA"/>
              </w:rPr>
              <w:t>104,6%</w:t>
            </w:r>
          </w:p>
        </w:tc>
      </w:tr>
    </w:tbl>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За 2011 рік обсяг реалізованої промислової продукції (робіт, послуг) склав 51251,4 млн.</w:t>
      </w:r>
      <w:r>
        <w:rPr>
          <w:rFonts w:ascii="Times New Roman" w:hAnsi="Times New Roman"/>
          <w:sz w:val="26"/>
          <w:szCs w:val="26"/>
          <w:lang w:val="uk-UA"/>
        </w:rPr>
        <w:t xml:space="preserve"> </w:t>
      </w:r>
      <w:r w:rsidRPr="009B719C">
        <w:rPr>
          <w:rFonts w:ascii="Times New Roman" w:hAnsi="Times New Roman"/>
          <w:sz w:val="26"/>
          <w:szCs w:val="26"/>
          <w:lang w:val="uk-UA"/>
        </w:rPr>
        <w:t>грн. (у відпускних цінах підприємств), що становить 5,1% у загальному обсязі реалізованої продукції країни. За обсягами реалізації  продукції Харківська область посідає 6 місце серед регіонів України (після Донецької, Дніпропетровської, Луганської, Запорізької і Полтавської областей).</w:t>
      </w:r>
    </w:p>
    <w:p w:rsidR="00161703" w:rsidRPr="009B719C" w:rsidRDefault="00161703" w:rsidP="00161703">
      <w:pPr>
        <w:pStyle w:val="a5"/>
        <w:spacing w:line="360" w:lineRule="auto"/>
        <w:ind w:left="709" w:hanging="709"/>
        <w:jc w:val="center"/>
        <w:rPr>
          <w:sz w:val="26"/>
          <w:szCs w:val="26"/>
        </w:rPr>
      </w:pPr>
      <w:r>
        <w:rPr>
          <w:noProof/>
          <w:sz w:val="26"/>
          <w:szCs w:val="26"/>
        </w:rPr>
        <w:drawing>
          <wp:inline distT="0" distB="0" distL="0" distR="0">
            <wp:extent cx="5772150" cy="3232785"/>
            <wp:effectExtent l="0" t="0" r="19050" b="2476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1703" w:rsidRPr="009B719C" w:rsidRDefault="00161703" w:rsidP="00161703">
      <w:pPr>
        <w:pStyle w:val="a5"/>
        <w:spacing w:line="360" w:lineRule="auto"/>
        <w:jc w:val="center"/>
        <w:rPr>
          <w:bCs/>
          <w:sz w:val="26"/>
          <w:szCs w:val="26"/>
          <w:lang w:val="uk-UA"/>
        </w:rPr>
      </w:pPr>
      <w:r>
        <w:rPr>
          <w:sz w:val="26"/>
          <w:szCs w:val="26"/>
          <w:lang w:val="uk-UA"/>
        </w:rPr>
        <w:t>Рисунок</w:t>
      </w:r>
      <w:r w:rsidRPr="009B719C">
        <w:rPr>
          <w:sz w:val="26"/>
          <w:szCs w:val="26"/>
          <w:lang w:val="uk-UA"/>
        </w:rPr>
        <w:t xml:space="preserve"> 3.3 – </w:t>
      </w:r>
      <w:r w:rsidRPr="009B719C">
        <w:rPr>
          <w:bCs/>
          <w:sz w:val="26"/>
          <w:szCs w:val="26"/>
          <w:lang w:val="uk-UA"/>
        </w:rPr>
        <w:t>Структура обсягів реалізації промислової продукції в Харківській області</w:t>
      </w:r>
    </w:p>
    <w:p w:rsidR="00161703" w:rsidRPr="009B719C" w:rsidRDefault="00161703" w:rsidP="00161703">
      <w:pPr>
        <w:pStyle w:val="a4"/>
        <w:spacing w:before="0" w:beforeAutospacing="0" w:after="0" w:afterAutospacing="0" w:line="360" w:lineRule="auto"/>
        <w:ind w:left="709" w:hanging="709"/>
        <w:jc w:val="center"/>
        <w:rPr>
          <w:i/>
          <w:sz w:val="26"/>
          <w:szCs w:val="26"/>
          <w:lang w:val="uk-UA"/>
        </w:rPr>
      </w:pPr>
      <w:proofErr w:type="spellStart"/>
      <w:r w:rsidRPr="009B719C">
        <w:rPr>
          <w:i/>
          <w:sz w:val="26"/>
          <w:szCs w:val="26"/>
          <w:lang w:val="uk-UA"/>
        </w:rPr>
        <w:t>Транспортно</w:t>
      </w:r>
      <w:proofErr w:type="spellEnd"/>
      <w:r w:rsidRPr="009B719C">
        <w:rPr>
          <w:i/>
          <w:sz w:val="26"/>
          <w:szCs w:val="26"/>
          <w:lang w:val="uk-UA"/>
        </w:rPr>
        <w:t xml:space="preserve"> – комунікаційний комплекс</w:t>
      </w:r>
    </w:p>
    <w:p w:rsidR="00161703" w:rsidRPr="009B719C" w:rsidRDefault="00161703" w:rsidP="00161703">
      <w:pPr>
        <w:pStyle w:val="a4"/>
        <w:spacing w:before="0" w:beforeAutospacing="0" w:after="0" w:afterAutospacing="0" w:line="360" w:lineRule="auto"/>
        <w:ind w:firstLine="709"/>
        <w:jc w:val="both"/>
        <w:rPr>
          <w:sz w:val="26"/>
          <w:szCs w:val="26"/>
          <w:lang w:val="uk-UA"/>
        </w:rPr>
      </w:pPr>
      <w:r w:rsidRPr="009B719C">
        <w:rPr>
          <w:sz w:val="26"/>
          <w:szCs w:val="26"/>
          <w:lang w:val="uk-UA"/>
        </w:rPr>
        <w:t>Область займає зручне транспортно-географічне положення на перетині міжнародних шляхів «північ-південь» і «захід-схід». Розвиненість дорожньо-транспортної інфраструктури, близькість меж індустріальн</w:t>
      </w:r>
      <w:r>
        <w:rPr>
          <w:sz w:val="26"/>
          <w:szCs w:val="26"/>
          <w:lang w:val="uk-UA"/>
        </w:rPr>
        <w:t xml:space="preserve">о-розвинених регіонів </w:t>
      </w:r>
      <w:r>
        <w:rPr>
          <w:sz w:val="26"/>
          <w:szCs w:val="26"/>
          <w:lang w:val="uk-UA"/>
        </w:rPr>
        <w:lastRenderedPageBreak/>
        <w:t xml:space="preserve">України, </w:t>
      </w:r>
      <w:r w:rsidRPr="009B719C">
        <w:rPr>
          <w:sz w:val="26"/>
          <w:szCs w:val="26"/>
          <w:lang w:val="uk-UA"/>
        </w:rPr>
        <w:t>а також межі з Російською Федерацією роблять регіон привабливим з точки зору розміщення виробництва, збут продукції якого орієнтований на ринки РФ і країн СНД. Відстань до західних кордонів України</w:t>
      </w:r>
      <w:r>
        <w:rPr>
          <w:sz w:val="26"/>
          <w:szCs w:val="26"/>
          <w:lang w:val="uk-UA"/>
        </w:rPr>
        <w:t xml:space="preserve"> </w:t>
      </w:r>
      <w:r w:rsidRPr="009B719C">
        <w:rPr>
          <w:sz w:val="26"/>
          <w:szCs w:val="26"/>
          <w:lang w:val="uk-UA"/>
        </w:rPr>
        <w:t xml:space="preserve">(з Польщею, Угорщиною), складає від 900 до </w:t>
      </w:r>
      <w:smartTag w:uri="urn:schemas-microsoft-com:office:smarttags" w:element="metricconverter">
        <w:smartTagPr>
          <w:attr w:name="ProductID" w:val="1200 км"/>
        </w:smartTagPr>
        <w:r w:rsidRPr="009B719C">
          <w:rPr>
            <w:sz w:val="26"/>
            <w:szCs w:val="26"/>
            <w:lang w:val="uk-UA"/>
          </w:rPr>
          <w:t>1200 км</w:t>
        </w:r>
      </w:smartTag>
      <w:r w:rsidRPr="009B719C">
        <w:rPr>
          <w:sz w:val="26"/>
          <w:szCs w:val="26"/>
          <w:lang w:val="uk-UA"/>
        </w:rPr>
        <w:t>, що в цілому дозволяє транспортувати продукцію в країни Європи при розумних транспортних витратах.</w:t>
      </w:r>
    </w:p>
    <w:p w:rsidR="00161703" w:rsidRPr="009B719C" w:rsidRDefault="00161703" w:rsidP="00161703">
      <w:pPr>
        <w:pStyle w:val="a4"/>
        <w:spacing w:before="0" w:beforeAutospacing="0" w:after="0" w:afterAutospacing="0" w:line="360" w:lineRule="auto"/>
        <w:ind w:firstLine="709"/>
        <w:jc w:val="both"/>
        <w:rPr>
          <w:sz w:val="26"/>
          <w:szCs w:val="26"/>
          <w:lang w:val="uk-UA"/>
        </w:rPr>
      </w:pPr>
      <w:r w:rsidRPr="009B719C">
        <w:rPr>
          <w:sz w:val="26"/>
          <w:szCs w:val="26"/>
          <w:lang w:val="uk-UA"/>
        </w:rPr>
        <w:t>По території області проходять міжнародні автодороги: «</w:t>
      </w:r>
      <w:proofErr w:type="spellStart"/>
      <w:r w:rsidRPr="009B719C">
        <w:rPr>
          <w:sz w:val="26"/>
          <w:szCs w:val="26"/>
          <w:lang w:val="uk-UA"/>
        </w:rPr>
        <w:t>Київ-Харків-</w:t>
      </w:r>
      <w:proofErr w:type="spellEnd"/>
      <w:r w:rsidRPr="009B719C">
        <w:rPr>
          <w:sz w:val="26"/>
          <w:szCs w:val="26"/>
          <w:lang w:val="uk-UA"/>
        </w:rPr>
        <w:t xml:space="preserve"> </w:t>
      </w:r>
      <w:proofErr w:type="spellStart"/>
      <w:r w:rsidRPr="009B719C">
        <w:rPr>
          <w:sz w:val="26"/>
          <w:szCs w:val="26"/>
          <w:lang w:val="uk-UA"/>
        </w:rPr>
        <w:t>Довжанский</w:t>
      </w:r>
      <w:proofErr w:type="spellEnd"/>
      <w:r w:rsidRPr="009B719C">
        <w:rPr>
          <w:sz w:val="26"/>
          <w:szCs w:val="26"/>
          <w:lang w:val="uk-UA"/>
        </w:rPr>
        <w:t>» (М-03), «Харків - Сімферополь - Алушта – Ялта» (М - 18) з ділянкою сучасного автобану.</w:t>
      </w:r>
    </w:p>
    <w:p w:rsidR="00161703" w:rsidRPr="009B719C" w:rsidRDefault="00161703" w:rsidP="00161703">
      <w:pPr>
        <w:pStyle w:val="a4"/>
        <w:spacing w:before="0" w:beforeAutospacing="0" w:after="0" w:afterAutospacing="0" w:line="360" w:lineRule="auto"/>
        <w:ind w:firstLine="709"/>
        <w:jc w:val="both"/>
        <w:rPr>
          <w:sz w:val="26"/>
          <w:szCs w:val="26"/>
          <w:lang w:val="uk-UA"/>
        </w:rPr>
      </w:pPr>
      <w:r w:rsidRPr="009B719C">
        <w:rPr>
          <w:sz w:val="26"/>
          <w:szCs w:val="26"/>
          <w:lang w:val="uk-UA"/>
        </w:rPr>
        <w:t xml:space="preserve">Транспортний комплекс - важлива складова частина виробничої інфраструктури Харківської області і транспортного комплексу України. </w:t>
      </w:r>
    </w:p>
    <w:p w:rsidR="00161703" w:rsidRPr="009B719C" w:rsidRDefault="00161703" w:rsidP="00161703">
      <w:pPr>
        <w:pStyle w:val="a4"/>
        <w:spacing w:before="0" w:beforeAutospacing="0" w:after="0" w:afterAutospacing="0" w:line="360" w:lineRule="auto"/>
        <w:ind w:firstLine="709"/>
        <w:jc w:val="both"/>
        <w:rPr>
          <w:sz w:val="26"/>
          <w:szCs w:val="26"/>
          <w:lang w:val="uk-UA"/>
        </w:rPr>
      </w:pPr>
      <w:r w:rsidRPr="009B719C">
        <w:rPr>
          <w:sz w:val="26"/>
          <w:szCs w:val="26"/>
          <w:lang w:val="uk-UA"/>
        </w:rPr>
        <w:t>Харків - вузловий центр залізничного сполучення Східної України, що зв'язує шість суміжних областей і забезпечує транспортні зв'язки з іншими державами. По експлуатаційній довжині залізниць, яка в області перевершує 1,37 тис. км, регіон займає третє місце в Україні (після Донецької і Дніпропетровської областей).</w:t>
      </w:r>
    </w:p>
    <w:p w:rsidR="00161703" w:rsidRPr="009B719C" w:rsidRDefault="00161703" w:rsidP="00161703">
      <w:pPr>
        <w:pStyle w:val="a4"/>
        <w:spacing w:before="0" w:beforeAutospacing="0" w:after="0" w:afterAutospacing="0" w:line="360" w:lineRule="auto"/>
        <w:ind w:firstLine="709"/>
        <w:jc w:val="both"/>
        <w:rPr>
          <w:sz w:val="26"/>
          <w:szCs w:val="26"/>
          <w:lang w:val="uk-UA"/>
        </w:rPr>
      </w:pPr>
      <w:r w:rsidRPr="009B719C">
        <w:rPr>
          <w:sz w:val="26"/>
          <w:szCs w:val="26"/>
          <w:lang w:val="uk-UA"/>
        </w:rPr>
        <w:t xml:space="preserve">Аеропорт  м. Харкова розташований в південній частині міста, в </w:t>
      </w:r>
      <w:smartTag w:uri="urn:schemas-microsoft-com:office:smarttags" w:element="metricconverter">
        <w:smartTagPr>
          <w:attr w:name="ProductID" w:val="12 км"/>
        </w:smartTagPr>
        <w:r w:rsidRPr="009B719C">
          <w:rPr>
            <w:sz w:val="26"/>
            <w:szCs w:val="26"/>
            <w:lang w:val="uk-UA"/>
          </w:rPr>
          <w:t>12 км</w:t>
        </w:r>
      </w:smartTag>
      <w:r w:rsidRPr="009B719C">
        <w:rPr>
          <w:sz w:val="26"/>
          <w:szCs w:val="26"/>
          <w:lang w:val="uk-UA"/>
        </w:rPr>
        <w:t xml:space="preserve"> від центру. Аеропорт «Харків» здійснює відправку і прийом пасажирів, вантажів, пошти і забезпечує виконання польотів і обслуговування повітряних суден, що належать вітчизняним і зарубіжним авіакомпаніям. Заходи, що виконані в ході реконструкції, дозволили збільшити пропускну спроможність Міжнародного аеропорту «Харків» до 1300 пасажирів в годину і приймати літаки класу «</w:t>
      </w:r>
      <w:proofErr w:type="spellStart"/>
      <w:r w:rsidRPr="009B719C">
        <w:rPr>
          <w:sz w:val="26"/>
          <w:szCs w:val="26"/>
          <w:lang w:val="uk-UA"/>
        </w:rPr>
        <w:t>Боінг</w:t>
      </w:r>
      <w:proofErr w:type="spellEnd"/>
      <w:r w:rsidRPr="009B719C">
        <w:rPr>
          <w:sz w:val="26"/>
          <w:szCs w:val="26"/>
          <w:lang w:val="uk-UA"/>
        </w:rPr>
        <w:t>-737».</w:t>
      </w:r>
    </w:p>
    <w:p w:rsidR="00161703" w:rsidRPr="009B719C" w:rsidRDefault="00161703" w:rsidP="00161703">
      <w:pPr>
        <w:pStyle w:val="a4"/>
        <w:spacing w:before="0" w:beforeAutospacing="0" w:after="0" w:afterAutospacing="0" w:line="360" w:lineRule="auto"/>
        <w:ind w:firstLine="709"/>
        <w:jc w:val="both"/>
        <w:rPr>
          <w:sz w:val="26"/>
          <w:szCs w:val="26"/>
          <w:lang w:val="uk-UA"/>
        </w:rPr>
      </w:pPr>
      <w:r w:rsidRPr="009B719C">
        <w:rPr>
          <w:sz w:val="26"/>
          <w:szCs w:val="26"/>
          <w:lang w:val="uk-UA"/>
        </w:rPr>
        <w:t xml:space="preserve">По забезпеченню засобами </w:t>
      </w:r>
      <w:proofErr w:type="spellStart"/>
      <w:r w:rsidRPr="009B719C">
        <w:rPr>
          <w:sz w:val="26"/>
          <w:szCs w:val="26"/>
          <w:lang w:val="uk-UA"/>
        </w:rPr>
        <w:t>телекомунікацій</w:t>
      </w:r>
      <w:proofErr w:type="spellEnd"/>
      <w:r w:rsidRPr="009B719C">
        <w:rPr>
          <w:sz w:val="26"/>
          <w:szCs w:val="26"/>
          <w:lang w:val="uk-UA"/>
        </w:rPr>
        <w:t xml:space="preserve"> Харківська область є однією з ведучих в Україні. Досить добре розвинені електрозв'язок, мобільний зв'язок, послуги передачі даних в мережах з пакетною комутацією при використанні технологій Х.25 і </w:t>
      </w:r>
      <w:proofErr w:type="spellStart"/>
      <w:r w:rsidRPr="009B719C">
        <w:rPr>
          <w:sz w:val="26"/>
          <w:szCs w:val="26"/>
          <w:lang w:val="uk-UA"/>
        </w:rPr>
        <w:t>Frame</w:t>
      </w:r>
      <w:proofErr w:type="spellEnd"/>
      <w:r w:rsidRPr="009B719C">
        <w:rPr>
          <w:sz w:val="26"/>
          <w:szCs w:val="26"/>
          <w:lang w:val="uk-UA"/>
        </w:rPr>
        <w:t xml:space="preserve"> </w:t>
      </w:r>
      <w:proofErr w:type="spellStart"/>
      <w:r w:rsidRPr="009B719C">
        <w:rPr>
          <w:sz w:val="26"/>
          <w:szCs w:val="26"/>
          <w:lang w:val="uk-UA"/>
        </w:rPr>
        <w:t>ReIay</w:t>
      </w:r>
      <w:proofErr w:type="spellEnd"/>
      <w:r w:rsidRPr="009B719C">
        <w:rPr>
          <w:sz w:val="26"/>
          <w:szCs w:val="26"/>
          <w:lang w:val="uk-UA"/>
        </w:rPr>
        <w:t>, пошукового радіо виклику (</w:t>
      </w:r>
      <w:proofErr w:type="spellStart"/>
      <w:r w:rsidRPr="009B719C">
        <w:rPr>
          <w:sz w:val="26"/>
          <w:szCs w:val="26"/>
          <w:lang w:val="uk-UA"/>
        </w:rPr>
        <w:t>транкінговий</w:t>
      </w:r>
      <w:proofErr w:type="spellEnd"/>
      <w:r w:rsidRPr="009B719C">
        <w:rPr>
          <w:sz w:val="26"/>
          <w:szCs w:val="26"/>
          <w:lang w:val="uk-UA"/>
        </w:rPr>
        <w:t xml:space="preserve"> зв'язок), мережа Інтернет.</w:t>
      </w:r>
    </w:p>
    <w:p w:rsidR="00161703" w:rsidRPr="009B719C" w:rsidRDefault="00161703" w:rsidP="00161703">
      <w:pPr>
        <w:pStyle w:val="a6"/>
        <w:shd w:val="clear" w:color="auto" w:fill="FFFFFF"/>
        <w:ind w:left="709" w:hanging="709"/>
        <w:jc w:val="center"/>
        <w:textAlignment w:val="top"/>
        <w:rPr>
          <w:rFonts w:ascii="Times New Roman" w:hAnsi="Times New Roman"/>
          <w:i/>
          <w:sz w:val="26"/>
          <w:szCs w:val="26"/>
          <w:lang w:val="uk-UA"/>
        </w:rPr>
      </w:pPr>
      <w:r w:rsidRPr="009B719C">
        <w:rPr>
          <w:rFonts w:ascii="Times New Roman" w:hAnsi="Times New Roman"/>
          <w:i/>
          <w:sz w:val="26"/>
          <w:szCs w:val="26"/>
          <w:lang w:val="uk-UA"/>
        </w:rPr>
        <w:t>Інвестиції</w:t>
      </w:r>
    </w:p>
    <w:p w:rsidR="00161703" w:rsidRPr="009B719C" w:rsidRDefault="00161703" w:rsidP="00161703">
      <w:pPr>
        <w:pStyle w:val="a6"/>
        <w:shd w:val="clear" w:color="auto" w:fill="FFFFFF"/>
        <w:ind w:left="0"/>
        <w:textAlignment w:val="top"/>
        <w:rPr>
          <w:rFonts w:ascii="Times New Roman" w:hAnsi="Times New Roman"/>
          <w:sz w:val="26"/>
          <w:szCs w:val="26"/>
          <w:lang w:val="uk-UA"/>
        </w:rPr>
      </w:pPr>
      <w:r w:rsidRPr="009B719C">
        <w:rPr>
          <w:rFonts w:ascii="Times New Roman" w:hAnsi="Times New Roman"/>
          <w:sz w:val="26"/>
          <w:szCs w:val="26"/>
          <w:lang w:val="uk-UA"/>
        </w:rPr>
        <w:t>За обсягом капітальних інвестицій в 2011 році Харківська область зайняла п'яте місце серед регіонів України (5,9% від загального обсягу капітальних інвестицій в Україні, що на 0,7% більше, ніж у 2010 році).</w:t>
      </w:r>
    </w:p>
    <w:p w:rsidR="00161703" w:rsidRPr="009B719C" w:rsidRDefault="00161703" w:rsidP="00161703">
      <w:pPr>
        <w:pStyle w:val="a6"/>
        <w:shd w:val="clear" w:color="auto" w:fill="FFFFFF"/>
        <w:ind w:left="0"/>
        <w:textAlignment w:val="top"/>
        <w:rPr>
          <w:rFonts w:ascii="Times New Roman" w:hAnsi="Times New Roman"/>
          <w:sz w:val="26"/>
          <w:szCs w:val="26"/>
          <w:lang w:val="uk-UA"/>
        </w:rPr>
      </w:pPr>
      <w:r w:rsidRPr="009B719C">
        <w:rPr>
          <w:rFonts w:ascii="Times New Roman" w:hAnsi="Times New Roman"/>
          <w:sz w:val="26"/>
          <w:szCs w:val="26"/>
          <w:lang w:val="uk-UA"/>
        </w:rPr>
        <w:lastRenderedPageBreak/>
        <w:t>У загальному обсязі прямих іноземних інвестицій по Україні питома вага інвестицій, вкладених в економіку Харківщини, за 2011р. склала 5,6% і за обсягами інвестицій область, як і раніше, посідає третє місце (їй передують Київ та Київська область). Підприємства Харківської області мають прямі іноземні інвестиції з 63 країн світу.</w:t>
      </w:r>
    </w:p>
    <w:p w:rsidR="00161703" w:rsidRPr="009B719C" w:rsidRDefault="00161703" w:rsidP="00161703">
      <w:pPr>
        <w:pStyle w:val="a6"/>
        <w:shd w:val="clear" w:color="auto" w:fill="FFFFFF"/>
        <w:ind w:left="0"/>
        <w:textAlignment w:val="top"/>
        <w:rPr>
          <w:rFonts w:ascii="Times New Roman" w:hAnsi="Times New Roman"/>
          <w:sz w:val="26"/>
          <w:szCs w:val="26"/>
          <w:lang w:val="uk-UA"/>
        </w:rPr>
      </w:pPr>
      <w:r w:rsidRPr="009B719C">
        <w:rPr>
          <w:rFonts w:ascii="Times New Roman" w:hAnsi="Times New Roman"/>
          <w:sz w:val="26"/>
          <w:szCs w:val="26"/>
          <w:lang w:val="uk-UA"/>
        </w:rPr>
        <w:t>За 2011 рік в економіку області іноземними інвесторами вкладено USD 142,2 млн. прямих інвестицій. Основна частка збільшення інвестицій (81,6%) здійснена нерезидентами країн ЄС - USD 116,0 млн. Переважна частина (96,4%) збільшення обсягу прямих інвестицій відбулася за рахунок грошових внесків. У той же час, в основному за рахунок вилучення капіталу (USD 90,6 млн.), зменшення прямих інвестицій склало USD 91,4 млн. В цілому приріст іноземного акціонерного капіталу, з урахуванням його переоцінки, втрат, курсової різниці за 2011 р. склав USD 28,8 млн. Значно збільшився обсяг прямих інвестицій нерезидентів з Великобританії - на USD 147,7 млн., Нідерландів - на USD 42,0 млн., Віргінських Островів (</w:t>
      </w:r>
      <w:proofErr w:type="spellStart"/>
      <w:r w:rsidRPr="009B719C">
        <w:rPr>
          <w:rFonts w:ascii="Times New Roman" w:hAnsi="Times New Roman"/>
          <w:sz w:val="26"/>
          <w:szCs w:val="26"/>
          <w:lang w:val="uk-UA"/>
        </w:rPr>
        <w:t>Брит</w:t>
      </w:r>
      <w:proofErr w:type="spellEnd"/>
      <w:r w:rsidRPr="009B719C">
        <w:rPr>
          <w:rFonts w:ascii="Times New Roman" w:hAnsi="Times New Roman"/>
          <w:sz w:val="26"/>
          <w:szCs w:val="26"/>
          <w:lang w:val="uk-UA"/>
        </w:rPr>
        <w:t>.) - на USD 12,2 млн. і Панами - на USD 5,1 млн..</w:t>
      </w:r>
    </w:p>
    <w:p w:rsidR="00161703" w:rsidRPr="009B719C" w:rsidRDefault="00161703" w:rsidP="00161703">
      <w:pPr>
        <w:pStyle w:val="a6"/>
        <w:shd w:val="clear" w:color="auto" w:fill="FFFFFF"/>
        <w:ind w:left="0"/>
        <w:textAlignment w:val="top"/>
        <w:rPr>
          <w:rFonts w:ascii="Times New Roman" w:hAnsi="Times New Roman"/>
          <w:sz w:val="26"/>
          <w:szCs w:val="26"/>
          <w:lang w:val="uk-UA"/>
        </w:rPr>
      </w:pPr>
      <w:r w:rsidRPr="009B719C">
        <w:rPr>
          <w:rFonts w:ascii="Times New Roman" w:hAnsi="Times New Roman"/>
          <w:sz w:val="26"/>
          <w:szCs w:val="26"/>
          <w:lang w:val="uk-UA"/>
        </w:rPr>
        <w:t>Найбільш вагомі обсяги приросту прямих іноземних інвестицій спостерігається по підприємствах таких видів економічної діяльності як:</w:t>
      </w:r>
    </w:p>
    <w:p w:rsidR="00161703" w:rsidRPr="009B719C" w:rsidRDefault="00161703" w:rsidP="00161703">
      <w:pPr>
        <w:pStyle w:val="a6"/>
        <w:numPr>
          <w:ilvl w:val="0"/>
          <w:numId w:val="1"/>
        </w:numPr>
        <w:shd w:val="clear" w:color="auto" w:fill="FFFFFF"/>
        <w:ind w:left="0" w:firstLine="709"/>
        <w:textAlignment w:val="top"/>
        <w:rPr>
          <w:rFonts w:ascii="Times New Roman" w:hAnsi="Times New Roman"/>
          <w:sz w:val="26"/>
          <w:szCs w:val="26"/>
          <w:lang w:val="uk-UA"/>
        </w:rPr>
      </w:pPr>
      <w:r w:rsidRPr="009B719C">
        <w:rPr>
          <w:rFonts w:ascii="Times New Roman" w:hAnsi="Times New Roman"/>
          <w:sz w:val="26"/>
          <w:szCs w:val="26"/>
          <w:lang w:val="uk-UA"/>
        </w:rPr>
        <w:t>виробництво неметалевої мінеральної продукції - на USD 41,0 млн. – головним чином за рахунок вкладень інвесторів з Нідерландів;</w:t>
      </w:r>
    </w:p>
    <w:p w:rsidR="00161703" w:rsidRPr="009B719C" w:rsidRDefault="00161703" w:rsidP="00161703">
      <w:pPr>
        <w:pStyle w:val="a6"/>
        <w:numPr>
          <w:ilvl w:val="0"/>
          <w:numId w:val="1"/>
        </w:numPr>
        <w:shd w:val="clear" w:color="auto" w:fill="FFFFFF"/>
        <w:ind w:left="0" w:firstLine="709"/>
        <w:textAlignment w:val="top"/>
        <w:rPr>
          <w:rFonts w:ascii="Times New Roman" w:hAnsi="Times New Roman"/>
          <w:sz w:val="26"/>
          <w:szCs w:val="26"/>
          <w:lang w:val="uk-UA"/>
        </w:rPr>
      </w:pPr>
      <w:r w:rsidRPr="009B719C">
        <w:rPr>
          <w:rFonts w:ascii="Times New Roman" w:hAnsi="Times New Roman"/>
          <w:sz w:val="26"/>
          <w:szCs w:val="26"/>
          <w:lang w:val="uk-UA"/>
        </w:rPr>
        <w:t>операції з нерухомим майном, оренда, інжиніринг та надання послуг підприємцям - на 14,8 млн. USD - з Кіпру та Панами;</w:t>
      </w:r>
    </w:p>
    <w:p w:rsidR="00161703" w:rsidRPr="009B719C" w:rsidRDefault="00161703" w:rsidP="00161703">
      <w:pPr>
        <w:pStyle w:val="a6"/>
        <w:numPr>
          <w:ilvl w:val="0"/>
          <w:numId w:val="1"/>
        </w:numPr>
        <w:shd w:val="clear" w:color="auto" w:fill="FFFFFF"/>
        <w:ind w:left="0" w:firstLine="709"/>
        <w:textAlignment w:val="top"/>
        <w:rPr>
          <w:rFonts w:ascii="Times New Roman" w:hAnsi="Times New Roman"/>
          <w:sz w:val="26"/>
          <w:szCs w:val="26"/>
          <w:lang w:val="uk-UA"/>
        </w:rPr>
      </w:pPr>
      <w:r w:rsidRPr="009B719C">
        <w:rPr>
          <w:rFonts w:ascii="Times New Roman" w:hAnsi="Times New Roman"/>
          <w:sz w:val="26"/>
          <w:szCs w:val="26"/>
          <w:lang w:val="uk-UA"/>
        </w:rPr>
        <w:t>оптова торгівля і посередництво в торгівлі - на USD 11,0 млн. - з Кіпру, Великобританії та США;</w:t>
      </w:r>
    </w:p>
    <w:p w:rsidR="00161703" w:rsidRPr="009B719C" w:rsidRDefault="00161703" w:rsidP="00161703">
      <w:pPr>
        <w:pStyle w:val="a6"/>
        <w:numPr>
          <w:ilvl w:val="0"/>
          <w:numId w:val="1"/>
        </w:numPr>
        <w:shd w:val="clear" w:color="auto" w:fill="FFFFFF"/>
        <w:ind w:left="0" w:firstLine="709"/>
        <w:textAlignment w:val="top"/>
        <w:rPr>
          <w:rFonts w:ascii="Times New Roman" w:hAnsi="Times New Roman"/>
          <w:sz w:val="26"/>
          <w:szCs w:val="26"/>
          <w:lang w:val="uk-UA"/>
        </w:rPr>
      </w:pPr>
      <w:r w:rsidRPr="009B719C">
        <w:rPr>
          <w:rFonts w:ascii="Times New Roman" w:hAnsi="Times New Roman"/>
          <w:sz w:val="26"/>
          <w:szCs w:val="26"/>
          <w:lang w:val="uk-UA"/>
        </w:rPr>
        <w:t>надання комунальних та індивідуальних послуг, діяльність у сфері культури та спорту - на 9,7 млн. USD - з Віргінських Островів (</w:t>
      </w:r>
      <w:proofErr w:type="spellStart"/>
      <w:r w:rsidRPr="009B719C">
        <w:rPr>
          <w:rFonts w:ascii="Times New Roman" w:hAnsi="Times New Roman"/>
          <w:sz w:val="26"/>
          <w:szCs w:val="26"/>
          <w:lang w:val="uk-UA"/>
        </w:rPr>
        <w:t>Брит</w:t>
      </w:r>
      <w:proofErr w:type="spellEnd"/>
      <w:r w:rsidRPr="009B719C">
        <w:rPr>
          <w:rFonts w:ascii="Times New Roman" w:hAnsi="Times New Roman"/>
          <w:sz w:val="26"/>
          <w:szCs w:val="26"/>
          <w:lang w:val="uk-UA"/>
        </w:rPr>
        <w:t>.);</w:t>
      </w:r>
    </w:p>
    <w:p w:rsidR="00161703" w:rsidRPr="009B719C" w:rsidRDefault="00161703" w:rsidP="00161703">
      <w:pPr>
        <w:pStyle w:val="a6"/>
        <w:numPr>
          <w:ilvl w:val="0"/>
          <w:numId w:val="1"/>
        </w:numPr>
        <w:shd w:val="clear" w:color="auto" w:fill="FFFFFF"/>
        <w:ind w:left="0" w:firstLine="709"/>
        <w:textAlignment w:val="top"/>
        <w:rPr>
          <w:rFonts w:ascii="Times New Roman" w:hAnsi="Times New Roman"/>
          <w:sz w:val="26"/>
          <w:szCs w:val="26"/>
          <w:lang w:val="uk-UA"/>
        </w:rPr>
      </w:pPr>
      <w:r w:rsidRPr="009B719C">
        <w:rPr>
          <w:rFonts w:ascii="Times New Roman" w:hAnsi="Times New Roman"/>
          <w:sz w:val="26"/>
          <w:szCs w:val="26"/>
          <w:lang w:val="uk-UA"/>
        </w:rPr>
        <w:t>виробництво харчових продуктів, напоїв та тютюнових виробів - на USD 8,7 млн. - з Кіпру, інші галузі промисловості - на USD 6,1 млн. - з Польщі;</w:t>
      </w:r>
    </w:p>
    <w:p w:rsidR="00161703" w:rsidRPr="009B719C" w:rsidRDefault="00161703" w:rsidP="00161703">
      <w:pPr>
        <w:pStyle w:val="a6"/>
        <w:numPr>
          <w:ilvl w:val="0"/>
          <w:numId w:val="1"/>
        </w:numPr>
        <w:shd w:val="clear" w:color="auto" w:fill="FFFFFF"/>
        <w:ind w:left="0" w:firstLine="709"/>
        <w:textAlignment w:val="top"/>
        <w:rPr>
          <w:rFonts w:ascii="Times New Roman" w:hAnsi="Times New Roman"/>
          <w:sz w:val="26"/>
          <w:szCs w:val="26"/>
          <w:lang w:val="uk-UA"/>
        </w:rPr>
      </w:pPr>
      <w:r w:rsidRPr="009B719C">
        <w:rPr>
          <w:rFonts w:ascii="Times New Roman" w:hAnsi="Times New Roman"/>
          <w:sz w:val="26"/>
          <w:szCs w:val="26"/>
          <w:lang w:val="uk-UA"/>
        </w:rPr>
        <w:t>будівництво - на USD 3,0 млн. - з Великобританії, Белізу та Віргінських островів (</w:t>
      </w:r>
      <w:proofErr w:type="spellStart"/>
      <w:r w:rsidRPr="009B719C">
        <w:rPr>
          <w:rFonts w:ascii="Times New Roman" w:hAnsi="Times New Roman"/>
          <w:sz w:val="26"/>
          <w:szCs w:val="26"/>
          <w:lang w:val="uk-UA"/>
        </w:rPr>
        <w:t>Брит</w:t>
      </w:r>
      <w:proofErr w:type="spellEnd"/>
      <w:r w:rsidRPr="009B719C">
        <w:rPr>
          <w:rFonts w:ascii="Times New Roman" w:hAnsi="Times New Roman"/>
          <w:sz w:val="26"/>
          <w:szCs w:val="26"/>
          <w:lang w:val="uk-UA"/>
        </w:rPr>
        <w:t>.).</w:t>
      </w:r>
    </w:p>
    <w:p w:rsidR="00161703" w:rsidRPr="009B719C" w:rsidRDefault="00161703" w:rsidP="00161703">
      <w:pPr>
        <w:pStyle w:val="a6"/>
        <w:shd w:val="clear" w:color="auto" w:fill="FFFFFF"/>
        <w:ind w:left="0"/>
        <w:textAlignment w:val="top"/>
        <w:rPr>
          <w:rFonts w:ascii="Times New Roman" w:hAnsi="Times New Roman"/>
          <w:sz w:val="26"/>
          <w:szCs w:val="26"/>
        </w:rPr>
      </w:pPr>
      <w:r w:rsidRPr="009B719C">
        <w:rPr>
          <w:rFonts w:ascii="Times New Roman" w:hAnsi="Times New Roman"/>
          <w:sz w:val="26"/>
          <w:szCs w:val="26"/>
          <w:lang w:val="uk-UA"/>
        </w:rPr>
        <w:t xml:space="preserve">На початок 2011р. прямі інвестиції (акціонерний капітал) склали USD 2716,9 млн., у т. ч. з країн ЄС - USD 2478,1 млн. (91,2% загального обсягу), з інших країн світу - USD 197,7 млн. ( 7,3%), з країн СНД - USD 41,1 млн. (1,5%). На 1 січня 2012 </w:t>
      </w:r>
      <w:r w:rsidRPr="009B719C">
        <w:rPr>
          <w:rFonts w:ascii="Times New Roman" w:hAnsi="Times New Roman"/>
          <w:sz w:val="26"/>
          <w:szCs w:val="26"/>
          <w:lang w:val="uk-UA"/>
        </w:rPr>
        <w:lastRenderedPageBreak/>
        <w:t xml:space="preserve">р. обсяг прямих іноземних інвестицій (акціонерний капітал) в області склав USD 2745,7 млн., що становить USD 1004,6 на душу населення. Темп росту прямих інвестицій за рік - 101,1% (за відповідний період минулого року - 130,5%). </w:t>
      </w:r>
    </w:p>
    <w:p w:rsidR="00161703" w:rsidRPr="009B719C" w:rsidRDefault="00161703" w:rsidP="00161703">
      <w:pPr>
        <w:pStyle w:val="a6"/>
        <w:shd w:val="clear" w:color="auto" w:fill="FFFFFF"/>
        <w:ind w:left="0" w:firstLine="0"/>
        <w:jc w:val="center"/>
        <w:rPr>
          <w:rFonts w:ascii="Times New Roman" w:hAnsi="Times New Roman"/>
          <w:sz w:val="26"/>
          <w:szCs w:val="26"/>
          <w:lang w:val="uk-UA"/>
        </w:rPr>
      </w:pPr>
      <w:r>
        <w:rPr>
          <w:rFonts w:ascii="Times New Roman" w:hAnsi="Times New Roman"/>
          <w:noProof/>
          <w:sz w:val="26"/>
          <w:szCs w:val="26"/>
          <w:lang w:eastAsia="ru-RU"/>
        </w:rPr>
        <w:drawing>
          <wp:inline distT="0" distB="0" distL="0" distR="0">
            <wp:extent cx="4573905" cy="2695575"/>
            <wp:effectExtent l="0" t="0" r="17145"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1703" w:rsidRPr="009B719C" w:rsidRDefault="00161703" w:rsidP="00161703">
      <w:pPr>
        <w:pStyle w:val="a6"/>
        <w:shd w:val="clear" w:color="auto" w:fill="FFFFFF"/>
        <w:ind w:left="0" w:firstLine="0"/>
        <w:jc w:val="center"/>
        <w:textAlignment w:val="top"/>
        <w:rPr>
          <w:rFonts w:ascii="Times New Roman" w:hAnsi="Times New Roman"/>
          <w:sz w:val="26"/>
          <w:szCs w:val="26"/>
          <w:lang w:val="uk-UA"/>
        </w:rPr>
      </w:pPr>
      <w:r w:rsidRPr="009B719C">
        <w:rPr>
          <w:rFonts w:ascii="Times New Roman" w:hAnsi="Times New Roman"/>
          <w:sz w:val="26"/>
          <w:szCs w:val="26"/>
          <w:lang w:val="uk-UA"/>
        </w:rPr>
        <w:t>Рис</w:t>
      </w:r>
      <w:r>
        <w:rPr>
          <w:rFonts w:ascii="Times New Roman" w:hAnsi="Times New Roman"/>
          <w:sz w:val="26"/>
          <w:szCs w:val="26"/>
          <w:lang w:val="uk-UA"/>
        </w:rPr>
        <w:t>унок</w:t>
      </w:r>
      <w:r w:rsidRPr="009B719C">
        <w:rPr>
          <w:rFonts w:ascii="Times New Roman" w:hAnsi="Times New Roman"/>
          <w:sz w:val="26"/>
          <w:szCs w:val="26"/>
          <w:lang w:val="uk-UA"/>
        </w:rPr>
        <w:t xml:space="preserve"> 3.4 – Динаміка прямих іноземних інвестицій (акціонерний капітал) в Харківську область (наростаючим підсумком на початок року)</w:t>
      </w:r>
    </w:p>
    <w:p w:rsidR="00161703" w:rsidRPr="009B719C" w:rsidRDefault="00161703" w:rsidP="00161703">
      <w:pPr>
        <w:pStyle w:val="a6"/>
        <w:shd w:val="clear" w:color="auto" w:fill="FFFFFF"/>
        <w:ind w:left="0"/>
        <w:textAlignment w:val="top"/>
        <w:rPr>
          <w:rFonts w:ascii="Times New Roman" w:hAnsi="Times New Roman"/>
          <w:sz w:val="26"/>
          <w:szCs w:val="26"/>
          <w:lang w:val="uk-UA"/>
        </w:rPr>
      </w:pPr>
      <w:r w:rsidRPr="009B719C">
        <w:rPr>
          <w:rFonts w:ascii="Times New Roman" w:hAnsi="Times New Roman"/>
          <w:sz w:val="26"/>
          <w:szCs w:val="26"/>
          <w:lang w:val="uk-UA"/>
        </w:rPr>
        <w:t>На підприємствах промисловості зосереджено 16,1% (USD 442,1 млн.) прямих інвестицій області. З початку 2011 року за прямі іноземні інвестиції звітувало 1041 підприємство.</w:t>
      </w:r>
    </w:p>
    <w:p w:rsidR="00161703" w:rsidRPr="009B719C" w:rsidRDefault="00161703" w:rsidP="00161703">
      <w:pPr>
        <w:pStyle w:val="a6"/>
        <w:shd w:val="clear" w:color="auto" w:fill="FFFFFF"/>
        <w:ind w:left="0"/>
        <w:textAlignment w:val="top"/>
        <w:rPr>
          <w:rFonts w:ascii="Times New Roman" w:hAnsi="Times New Roman"/>
          <w:sz w:val="26"/>
          <w:szCs w:val="26"/>
          <w:lang w:val="uk-UA"/>
        </w:rPr>
      </w:pPr>
      <w:r w:rsidRPr="009B719C">
        <w:rPr>
          <w:rFonts w:ascii="Times New Roman" w:hAnsi="Times New Roman"/>
          <w:sz w:val="26"/>
          <w:szCs w:val="26"/>
          <w:lang w:val="uk-UA"/>
        </w:rPr>
        <w:t xml:space="preserve">На підприємствах міста Харкова зосереджено 86,9% прямих іноземних інвестицій області. Серед районів Харкова провідне місце за обсягами прямих інвестицій займає </w:t>
      </w:r>
      <w:proofErr w:type="spellStart"/>
      <w:r w:rsidRPr="009B719C">
        <w:rPr>
          <w:rFonts w:ascii="Times New Roman" w:hAnsi="Times New Roman"/>
          <w:sz w:val="26"/>
          <w:szCs w:val="26"/>
          <w:lang w:val="uk-UA"/>
        </w:rPr>
        <w:t>Червонозаводський</w:t>
      </w:r>
      <w:proofErr w:type="spellEnd"/>
      <w:r w:rsidRPr="009B719C">
        <w:rPr>
          <w:rFonts w:ascii="Times New Roman" w:hAnsi="Times New Roman"/>
          <w:sz w:val="26"/>
          <w:szCs w:val="26"/>
          <w:lang w:val="uk-UA"/>
        </w:rPr>
        <w:t xml:space="preserve"> - USD 1655,0 млн. (60,3% від загального обсягу інвестицій). Загальний обсяг прямих іноземних інвестицій (акціонерний капітал і боргові інструменти) в області на 1 січня 2012 р. склав USD 3036,3 млн. У 2011р. з області в економіку інших країн світу резиденти спрямували прямі інвестиції (акціонерний капітал) на суму USD 3,3 млн. Інвестування здійснювалося у вигляді грошових внесків. Зменшення обсягів прямих інвестицій резидентів склав USD 5,0 млн. Обсяг прямих інвестицій (акціонерний капітал) з області в економіку країн світу, з урахуванням його курсової різниці, на 1 січня 2012 р. склав USD 11,2 млн., в т. ч. в країни СНД - USD 10,9 млн. ( 97,1% від загального обсягу), в інші країни світу - USD 0,1 млн. (0,4%) і в країни ЄС - USD 0,2 млн. (2,5%). Прямі інвестиції в економіку інших країн мають 17 підприємств облас</w:t>
      </w:r>
      <w:r>
        <w:rPr>
          <w:rFonts w:ascii="Times New Roman" w:hAnsi="Times New Roman"/>
          <w:sz w:val="26"/>
          <w:szCs w:val="26"/>
          <w:lang w:val="uk-UA"/>
        </w:rPr>
        <w:t>ті. Прямі інвестиції з області з</w:t>
      </w:r>
      <w:r w:rsidRPr="009B719C">
        <w:rPr>
          <w:rFonts w:ascii="Times New Roman" w:hAnsi="Times New Roman"/>
          <w:sz w:val="26"/>
          <w:szCs w:val="26"/>
          <w:lang w:val="uk-UA"/>
        </w:rPr>
        <w:t xml:space="preserve">дійснено в 5 країн світу, переважна їхня частка спрямована до Російської </w:t>
      </w:r>
      <w:r w:rsidRPr="009B719C">
        <w:rPr>
          <w:rFonts w:ascii="Times New Roman" w:hAnsi="Times New Roman"/>
          <w:sz w:val="26"/>
          <w:szCs w:val="26"/>
          <w:lang w:val="uk-UA"/>
        </w:rPr>
        <w:lastRenderedPageBreak/>
        <w:t>Федерації (96,9%). Основним видом економічної діяльності основних інвесторів прямих інвестицій області, обсяги яких склали USD 9,1 млн. (81,1%) - є машинобудування. Загальний обсяг прямих інвестицій (акціонерний і інший капітал) в економіку країн світу склав USD 11,2 млн. У загальному обсязі прямих інвестицій з України питома вага інвестицій області на 1 січня 2012 р. склала 0,2%.</w:t>
      </w:r>
    </w:p>
    <w:p w:rsidR="00161703" w:rsidRPr="006F7D5D" w:rsidRDefault="00161703" w:rsidP="00161703">
      <w:pPr>
        <w:pStyle w:val="a6"/>
        <w:ind w:left="0"/>
        <w:rPr>
          <w:rFonts w:ascii="Times New Roman" w:hAnsi="Times New Roman"/>
          <w:b/>
          <w:i/>
          <w:sz w:val="26"/>
          <w:szCs w:val="26"/>
          <w:lang w:val="uk-UA"/>
        </w:rPr>
      </w:pPr>
      <w:r w:rsidRPr="006F7D5D">
        <w:rPr>
          <w:rFonts w:ascii="Times New Roman" w:hAnsi="Times New Roman"/>
          <w:sz w:val="26"/>
          <w:szCs w:val="26"/>
          <w:lang w:val="uk-UA"/>
        </w:rPr>
        <w:t xml:space="preserve">Харківська область має певні переваги порівняно з іншими регіонами країни з точки зору привабливості для інвестування. Харківський регіон першим серед регіонів України підписав Меморандум про співпрацю з Державним агентством з інвестицій та управління національними проектами Україні. Цей меморандум став стимулом підвищення рівня взаємодії всіх організацій, що займаються залученням інвестицій на рівні регіону: комунальних підприємств, наукових інститутів, торгово-промислової палати, фонду підтримки підприємництва та Регіонального центру інвестицій та розвитку, що є структурною частиною </w:t>
      </w:r>
      <w:proofErr w:type="spellStart"/>
      <w:r w:rsidRPr="006F7D5D">
        <w:rPr>
          <w:rFonts w:ascii="Times New Roman" w:hAnsi="Times New Roman"/>
          <w:sz w:val="26"/>
          <w:szCs w:val="26"/>
          <w:lang w:val="uk-UA"/>
        </w:rPr>
        <w:t>Держінвестпроекту</w:t>
      </w:r>
      <w:proofErr w:type="spellEnd"/>
      <w:r w:rsidRPr="006F7D5D">
        <w:rPr>
          <w:rFonts w:ascii="Times New Roman" w:hAnsi="Times New Roman"/>
          <w:sz w:val="26"/>
          <w:szCs w:val="26"/>
          <w:lang w:val="uk-UA"/>
        </w:rPr>
        <w:t>.</w:t>
      </w:r>
    </w:p>
    <w:p w:rsidR="00161703" w:rsidRPr="009B719C" w:rsidRDefault="00161703" w:rsidP="00161703">
      <w:pPr>
        <w:pStyle w:val="a6"/>
        <w:ind w:left="0" w:firstLine="0"/>
        <w:jc w:val="center"/>
        <w:rPr>
          <w:rFonts w:ascii="Times New Roman" w:hAnsi="Times New Roman"/>
          <w:bCs/>
          <w:i/>
          <w:sz w:val="26"/>
          <w:szCs w:val="26"/>
          <w:lang w:val="uk-UA"/>
        </w:rPr>
      </w:pPr>
      <w:r w:rsidRPr="009B719C">
        <w:rPr>
          <w:rFonts w:ascii="Times New Roman" w:hAnsi="Times New Roman"/>
          <w:bCs/>
          <w:i/>
          <w:sz w:val="26"/>
          <w:szCs w:val="26"/>
          <w:lang w:val="uk-UA"/>
        </w:rPr>
        <w:t>Населення. Трудові ресурси</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Демографічна ситуація в Харківській області відзначається своєю складністю та напруженістю, про що свідчать ряд процесів, які відбуваються в регіоні в сфері демографічного розвитку: зменшення чисельності населення, стабільно низький рівень народжуваності при високому рівні смертності, природне скорочення населення, висока смертність чоловічого населення працездатного віку, старіння населення тощо. Харківська область, зокрема м. Харків відноситься до тих регіонів України, в яких демографічна ситуація відрізняється певними особливостями. Область відзначається високим соціально-економічним розвитком, має позитивне сальдо міграційного руху населення, у віковій структурі переважає населення працездатного віку; проте в той же час, відбуваються несприятливі демографічні тенденції та існують значні територіальні диспропорції.</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Загальна чисельність наявного населення області на 01.01.2012р. складає 2742,2 тис. осіб. </w:t>
      </w:r>
      <w:bookmarkStart w:id="1" w:name="OCRUncertain041"/>
      <w:r w:rsidRPr="009B719C">
        <w:rPr>
          <w:rFonts w:ascii="Times New Roman" w:hAnsi="Times New Roman"/>
          <w:sz w:val="26"/>
          <w:szCs w:val="26"/>
          <w:lang w:val="uk-UA"/>
        </w:rPr>
        <w:t>В обласному центрі, м. Харкові, проживає 1441,4 тис. осіб.</w:t>
      </w:r>
    </w:p>
    <w:bookmarkEnd w:id="1"/>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Харківська область сьогодні – це регіон з потужним трудовим потенціалом,який відрізняється високим рівнем освіти та кваліфікації. Кількість населення працездатного віку складає 1702 тис. осіб (62% населення області), з них економічно активне населення – 1365 тис. осіб.</w:t>
      </w:r>
    </w:p>
    <w:p w:rsidR="00161703" w:rsidRPr="009B719C" w:rsidRDefault="00161703" w:rsidP="00161703">
      <w:pPr>
        <w:pStyle w:val="a6"/>
        <w:ind w:left="709" w:hanging="709"/>
        <w:jc w:val="center"/>
        <w:rPr>
          <w:rFonts w:ascii="Times New Roman" w:hAnsi="Times New Roman"/>
          <w:sz w:val="26"/>
          <w:szCs w:val="26"/>
          <w:lang w:val="uk-UA"/>
        </w:rPr>
      </w:pPr>
      <w:r>
        <w:rPr>
          <w:rFonts w:ascii="Times New Roman" w:hAnsi="Times New Roman"/>
          <w:noProof/>
          <w:sz w:val="26"/>
          <w:szCs w:val="26"/>
          <w:lang w:eastAsia="ru-RU"/>
        </w:rPr>
        <w:lastRenderedPageBreak/>
        <w:drawing>
          <wp:inline distT="0" distB="0" distL="0" distR="0">
            <wp:extent cx="5257165" cy="2610485"/>
            <wp:effectExtent l="0" t="0" r="19685" b="1841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1703" w:rsidRPr="009B719C" w:rsidRDefault="00161703" w:rsidP="00161703">
      <w:pPr>
        <w:pStyle w:val="a6"/>
        <w:ind w:left="709" w:hanging="709"/>
        <w:jc w:val="center"/>
        <w:rPr>
          <w:rFonts w:ascii="Times New Roman" w:hAnsi="Times New Roman"/>
          <w:sz w:val="26"/>
          <w:szCs w:val="26"/>
          <w:lang w:val="uk-UA"/>
        </w:rPr>
      </w:pPr>
      <w:r>
        <w:rPr>
          <w:rFonts w:ascii="Times New Roman" w:hAnsi="Times New Roman"/>
          <w:sz w:val="26"/>
          <w:szCs w:val="26"/>
          <w:lang w:val="uk-UA"/>
        </w:rPr>
        <w:t xml:space="preserve">Рисунок </w:t>
      </w:r>
      <w:r w:rsidRPr="009B719C">
        <w:rPr>
          <w:rFonts w:ascii="Times New Roman" w:hAnsi="Times New Roman"/>
          <w:sz w:val="26"/>
          <w:szCs w:val="26"/>
          <w:lang w:val="uk-UA"/>
        </w:rPr>
        <w:t>3.5 – Зайнятість  населення за видами економічної діяльності</w:t>
      </w:r>
    </w:p>
    <w:p w:rsidR="00161703" w:rsidRPr="009B719C" w:rsidRDefault="00161703" w:rsidP="00161703">
      <w:pPr>
        <w:pStyle w:val="a6"/>
        <w:ind w:left="709" w:hanging="709"/>
        <w:jc w:val="center"/>
        <w:rPr>
          <w:rFonts w:ascii="Times New Roman" w:hAnsi="Times New Roman"/>
          <w:sz w:val="26"/>
          <w:szCs w:val="26"/>
          <w:lang w:val="uk-UA"/>
        </w:rPr>
      </w:pPr>
      <w:r>
        <w:rPr>
          <w:rFonts w:ascii="Times New Roman" w:hAnsi="Times New Roman"/>
          <w:noProof/>
          <w:sz w:val="26"/>
          <w:szCs w:val="26"/>
          <w:lang w:eastAsia="ru-RU"/>
        </w:rPr>
        <w:drawing>
          <wp:inline distT="0" distB="0" distL="0" distR="0">
            <wp:extent cx="4736465" cy="2240915"/>
            <wp:effectExtent l="0" t="0" r="26035" b="2603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1703" w:rsidRPr="009B719C" w:rsidRDefault="00161703" w:rsidP="00161703">
      <w:pPr>
        <w:pStyle w:val="a6"/>
        <w:ind w:left="709" w:firstLine="0"/>
        <w:jc w:val="center"/>
        <w:rPr>
          <w:rFonts w:ascii="Times New Roman" w:hAnsi="Times New Roman"/>
          <w:sz w:val="26"/>
          <w:szCs w:val="26"/>
          <w:lang w:val="uk-UA"/>
        </w:rPr>
      </w:pPr>
      <w:r>
        <w:rPr>
          <w:rFonts w:ascii="Times New Roman" w:hAnsi="Times New Roman"/>
          <w:sz w:val="26"/>
          <w:szCs w:val="26"/>
          <w:lang w:val="uk-UA"/>
        </w:rPr>
        <w:t xml:space="preserve">Рисунок </w:t>
      </w:r>
      <w:r w:rsidRPr="009B719C">
        <w:rPr>
          <w:rFonts w:ascii="Times New Roman" w:hAnsi="Times New Roman"/>
          <w:sz w:val="26"/>
          <w:szCs w:val="26"/>
          <w:lang w:val="uk-UA"/>
        </w:rPr>
        <w:t>3.6 – Структура найнятих робітників по видам промислової діяльності</w:t>
      </w:r>
    </w:p>
    <w:p w:rsidR="00161703" w:rsidRPr="009B719C" w:rsidRDefault="00161703" w:rsidP="00161703">
      <w:pPr>
        <w:pStyle w:val="a6"/>
        <w:ind w:left="709" w:hanging="709"/>
        <w:jc w:val="center"/>
        <w:rPr>
          <w:rFonts w:ascii="Times New Roman" w:hAnsi="Times New Roman"/>
          <w:b/>
          <w:i/>
          <w:color w:val="FF0000"/>
          <w:sz w:val="26"/>
          <w:szCs w:val="26"/>
          <w:lang w:val="uk-UA"/>
        </w:rPr>
      </w:pPr>
      <w:r>
        <w:rPr>
          <w:rFonts w:ascii="Times New Roman" w:hAnsi="Times New Roman"/>
          <w:noProof/>
          <w:sz w:val="26"/>
          <w:szCs w:val="26"/>
          <w:lang w:eastAsia="ru-RU"/>
        </w:rPr>
        <w:drawing>
          <wp:inline distT="0" distB="0" distL="0" distR="0">
            <wp:extent cx="4201795" cy="2356485"/>
            <wp:effectExtent l="0" t="0" r="27305" b="2476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1703" w:rsidRPr="009B719C" w:rsidRDefault="00161703" w:rsidP="00161703">
      <w:pPr>
        <w:pStyle w:val="a6"/>
        <w:ind w:left="709" w:hanging="709"/>
        <w:jc w:val="center"/>
        <w:rPr>
          <w:rFonts w:ascii="Times New Roman" w:hAnsi="Times New Roman"/>
          <w:sz w:val="26"/>
          <w:szCs w:val="26"/>
          <w:lang w:val="uk-UA"/>
        </w:rPr>
      </w:pPr>
      <w:r>
        <w:rPr>
          <w:rFonts w:ascii="Times New Roman" w:hAnsi="Times New Roman"/>
          <w:sz w:val="26"/>
          <w:szCs w:val="26"/>
          <w:lang w:val="uk-UA"/>
        </w:rPr>
        <w:t>Рисунок</w:t>
      </w:r>
      <w:r w:rsidRPr="009B719C">
        <w:rPr>
          <w:rFonts w:ascii="Times New Roman" w:hAnsi="Times New Roman"/>
          <w:sz w:val="26"/>
          <w:szCs w:val="26"/>
          <w:lang w:val="uk-UA"/>
        </w:rPr>
        <w:t xml:space="preserve"> 3.7 – Зайнятість населення за віковими групами</w:t>
      </w:r>
    </w:p>
    <w:p w:rsidR="00161703" w:rsidRPr="009B719C" w:rsidRDefault="00161703" w:rsidP="00161703">
      <w:pPr>
        <w:pStyle w:val="a6"/>
        <w:ind w:left="709" w:firstLine="0"/>
        <w:rPr>
          <w:rFonts w:ascii="Times New Roman" w:hAnsi="Times New Roman"/>
          <w:sz w:val="26"/>
          <w:szCs w:val="26"/>
          <w:lang w:val="uk-UA"/>
        </w:rPr>
      </w:pPr>
      <w:r>
        <w:rPr>
          <w:rFonts w:ascii="Times New Roman" w:hAnsi="Times New Roman"/>
          <w:sz w:val="26"/>
          <w:szCs w:val="26"/>
          <w:lang w:val="uk-UA"/>
        </w:rPr>
        <w:br w:type="page"/>
      </w:r>
      <w:r w:rsidRPr="009B719C">
        <w:rPr>
          <w:rFonts w:ascii="Times New Roman" w:hAnsi="Times New Roman"/>
          <w:sz w:val="26"/>
          <w:szCs w:val="26"/>
          <w:lang w:val="uk-UA"/>
        </w:rPr>
        <w:lastRenderedPageBreak/>
        <w:t>Таблиця 3.2 – Стан ринку праці в Харківській області</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762"/>
        <w:gridCol w:w="888"/>
        <w:gridCol w:w="851"/>
        <w:gridCol w:w="850"/>
        <w:gridCol w:w="799"/>
        <w:gridCol w:w="825"/>
        <w:gridCol w:w="825"/>
      </w:tblGrid>
      <w:tr w:rsidR="00161703" w:rsidRPr="006F7D5D" w:rsidTr="0050487F">
        <w:trPr>
          <w:trHeight w:val="833"/>
        </w:trPr>
        <w:tc>
          <w:tcPr>
            <w:tcW w:w="3933"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Показник</w:t>
            </w:r>
          </w:p>
        </w:tc>
        <w:tc>
          <w:tcPr>
            <w:tcW w:w="762"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2005</w:t>
            </w:r>
          </w:p>
        </w:tc>
        <w:tc>
          <w:tcPr>
            <w:tcW w:w="888"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2006</w:t>
            </w:r>
          </w:p>
        </w:tc>
        <w:tc>
          <w:tcPr>
            <w:tcW w:w="851"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2007</w:t>
            </w:r>
          </w:p>
        </w:tc>
        <w:tc>
          <w:tcPr>
            <w:tcW w:w="850"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2008</w:t>
            </w:r>
          </w:p>
        </w:tc>
        <w:tc>
          <w:tcPr>
            <w:tcW w:w="799"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2009</w:t>
            </w:r>
          </w:p>
        </w:tc>
        <w:tc>
          <w:tcPr>
            <w:tcW w:w="825"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2010</w:t>
            </w:r>
          </w:p>
        </w:tc>
        <w:tc>
          <w:tcPr>
            <w:tcW w:w="825" w:type="dxa"/>
          </w:tcPr>
          <w:p w:rsidR="00161703" w:rsidRPr="006C63C4" w:rsidRDefault="00161703" w:rsidP="0050487F">
            <w:pPr>
              <w:ind w:firstLine="0"/>
              <w:jc w:val="center"/>
              <w:rPr>
                <w:rFonts w:ascii="Times New Roman" w:hAnsi="Times New Roman"/>
                <w:bCs/>
                <w:sz w:val="26"/>
                <w:szCs w:val="26"/>
                <w:lang w:val="uk-UA"/>
              </w:rPr>
            </w:pPr>
            <w:r w:rsidRPr="006C63C4">
              <w:rPr>
                <w:rFonts w:ascii="Times New Roman" w:hAnsi="Times New Roman"/>
                <w:bCs/>
                <w:sz w:val="26"/>
                <w:szCs w:val="26"/>
                <w:lang w:val="uk-UA"/>
              </w:rPr>
              <w:t>2011</w:t>
            </w:r>
          </w:p>
        </w:tc>
      </w:tr>
      <w:tr w:rsidR="00161703" w:rsidRPr="006F7D5D" w:rsidTr="0050487F">
        <w:trPr>
          <w:trHeight w:val="272"/>
        </w:trPr>
        <w:tc>
          <w:tcPr>
            <w:tcW w:w="3933" w:type="dxa"/>
          </w:tcPr>
          <w:p w:rsidR="00161703" w:rsidRPr="006C63C4" w:rsidRDefault="00161703" w:rsidP="0050487F">
            <w:pPr>
              <w:spacing w:line="336" w:lineRule="auto"/>
              <w:ind w:firstLine="0"/>
              <w:jc w:val="left"/>
              <w:rPr>
                <w:rFonts w:ascii="Times New Roman" w:hAnsi="Times New Roman"/>
                <w:sz w:val="26"/>
                <w:szCs w:val="26"/>
                <w:lang w:val="uk-UA"/>
              </w:rPr>
            </w:pPr>
            <w:r w:rsidRPr="006C63C4">
              <w:rPr>
                <w:rFonts w:ascii="Times New Roman" w:hAnsi="Times New Roman"/>
                <w:sz w:val="26"/>
                <w:szCs w:val="26"/>
                <w:lang w:val="uk-UA"/>
              </w:rPr>
              <w:t xml:space="preserve">Рівень офіційно зареєстрованого безробіття, </w:t>
            </w:r>
            <w:r w:rsidRPr="006C63C4">
              <w:rPr>
                <w:rFonts w:ascii="Times New Roman" w:hAnsi="Times New Roman"/>
                <w:iCs/>
                <w:sz w:val="26"/>
                <w:szCs w:val="26"/>
                <w:lang w:val="uk-UA"/>
              </w:rPr>
              <w:t>%</w:t>
            </w:r>
          </w:p>
        </w:tc>
        <w:tc>
          <w:tcPr>
            <w:tcW w:w="762"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2,6</w:t>
            </w:r>
          </w:p>
        </w:tc>
        <w:tc>
          <w:tcPr>
            <w:tcW w:w="888"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2,4</w:t>
            </w:r>
          </w:p>
        </w:tc>
        <w:tc>
          <w:tcPr>
            <w:tcW w:w="851"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2,1</w:t>
            </w:r>
          </w:p>
        </w:tc>
        <w:tc>
          <w:tcPr>
            <w:tcW w:w="850"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2,7</w:t>
            </w:r>
          </w:p>
        </w:tc>
        <w:tc>
          <w:tcPr>
            <w:tcW w:w="799"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1,8</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1,9</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1,8</w:t>
            </w:r>
          </w:p>
        </w:tc>
      </w:tr>
      <w:tr w:rsidR="00161703" w:rsidRPr="006F7D5D" w:rsidTr="0050487F">
        <w:trPr>
          <w:trHeight w:val="545"/>
        </w:trPr>
        <w:tc>
          <w:tcPr>
            <w:tcW w:w="3933" w:type="dxa"/>
          </w:tcPr>
          <w:p w:rsidR="00161703" w:rsidRPr="006C63C4" w:rsidRDefault="00161703" w:rsidP="0050487F">
            <w:pPr>
              <w:spacing w:line="336" w:lineRule="auto"/>
              <w:ind w:firstLine="0"/>
              <w:jc w:val="left"/>
              <w:rPr>
                <w:rFonts w:ascii="Times New Roman" w:hAnsi="Times New Roman"/>
                <w:iCs/>
                <w:snapToGrid w:val="0"/>
                <w:sz w:val="26"/>
                <w:szCs w:val="26"/>
                <w:lang w:val="uk-UA"/>
              </w:rPr>
            </w:pPr>
            <w:r w:rsidRPr="006C63C4">
              <w:rPr>
                <w:rFonts w:ascii="Times New Roman" w:hAnsi="Times New Roman"/>
                <w:snapToGrid w:val="0"/>
                <w:sz w:val="26"/>
                <w:szCs w:val="26"/>
                <w:lang w:val="uk-UA"/>
              </w:rPr>
              <w:t xml:space="preserve">Всього безробітних, незайнятих понад 1 рік, </w:t>
            </w:r>
            <w:r w:rsidRPr="006C63C4">
              <w:rPr>
                <w:rFonts w:ascii="Times New Roman" w:hAnsi="Times New Roman"/>
                <w:iCs/>
                <w:snapToGrid w:val="0"/>
                <w:sz w:val="26"/>
                <w:szCs w:val="26"/>
                <w:lang w:val="uk-UA"/>
              </w:rPr>
              <w:t>тис.</w:t>
            </w:r>
            <w:r w:rsidRPr="006C63C4">
              <w:rPr>
                <w:rFonts w:ascii="Times New Roman" w:hAnsi="Times New Roman"/>
                <w:iCs/>
                <w:sz w:val="26"/>
                <w:szCs w:val="26"/>
                <w:lang w:val="uk-UA"/>
              </w:rPr>
              <w:t xml:space="preserve"> осіб</w:t>
            </w:r>
          </w:p>
        </w:tc>
        <w:tc>
          <w:tcPr>
            <w:tcW w:w="762"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6,3</w:t>
            </w:r>
          </w:p>
        </w:tc>
        <w:tc>
          <w:tcPr>
            <w:tcW w:w="888"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5,5,1</w:t>
            </w:r>
          </w:p>
        </w:tc>
        <w:tc>
          <w:tcPr>
            <w:tcW w:w="851"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4,2</w:t>
            </w:r>
          </w:p>
        </w:tc>
        <w:tc>
          <w:tcPr>
            <w:tcW w:w="850"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5,5</w:t>
            </w:r>
          </w:p>
        </w:tc>
        <w:tc>
          <w:tcPr>
            <w:tcW w:w="799"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3,1</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5,2</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3,9</w:t>
            </w:r>
          </w:p>
        </w:tc>
      </w:tr>
      <w:tr w:rsidR="00161703" w:rsidRPr="006F7D5D" w:rsidTr="0050487F">
        <w:trPr>
          <w:trHeight w:val="545"/>
        </w:trPr>
        <w:tc>
          <w:tcPr>
            <w:tcW w:w="3933" w:type="dxa"/>
          </w:tcPr>
          <w:p w:rsidR="00161703" w:rsidRPr="006C63C4" w:rsidRDefault="00161703" w:rsidP="0050487F">
            <w:pPr>
              <w:spacing w:line="336" w:lineRule="auto"/>
              <w:ind w:firstLine="0"/>
              <w:jc w:val="left"/>
              <w:rPr>
                <w:rFonts w:ascii="Times New Roman" w:hAnsi="Times New Roman"/>
                <w:sz w:val="26"/>
                <w:szCs w:val="26"/>
                <w:lang w:val="uk-UA"/>
              </w:rPr>
            </w:pPr>
            <w:r w:rsidRPr="006C63C4">
              <w:rPr>
                <w:rFonts w:ascii="Times New Roman" w:hAnsi="Times New Roman"/>
                <w:sz w:val="26"/>
                <w:szCs w:val="26"/>
                <w:lang w:val="uk-UA"/>
              </w:rPr>
              <w:t xml:space="preserve">Середня тривалість зареєстрованого безробіття по області, </w:t>
            </w:r>
            <w:r w:rsidRPr="006C63C4">
              <w:rPr>
                <w:rFonts w:ascii="Times New Roman" w:hAnsi="Times New Roman"/>
                <w:iCs/>
                <w:sz w:val="26"/>
                <w:szCs w:val="26"/>
                <w:lang w:val="uk-UA"/>
              </w:rPr>
              <w:t>міс.</w:t>
            </w:r>
          </w:p>
        </w:tc>
        <w:tc>
          <w:tcPr>
            <w:tcW w:w="762"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5</w:t>
            </w:r>
          </w:p>
        </w:tc>
        <w:tc>
          <w:tcPr>
            <w:tcW w:w="888"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5</w:t>
            </w:r>
          </w:p>
        </w:tc>
        <w:tc>
          <w:tcPr>
            <w:tcW w:w="851"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6</w:t>
            </w:r>
          </w:p>
        </w:tc>
        <w:tc>
          <w:tcPr>
            <w:tcW w:w="850"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4</w:t>
            </w:r>
          </w:p>
        </w:tc>
        <w:tc>
          <w:tcPr>
            <w:tcW w:w="799"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4</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6</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5</w:t>
            </w:r>
          </w:p>
        </w:tc>
      </w:tr>
      <w:tr w:rsidR="00161703" w:rsidRPr="006F7D5D" w:rsidTr="0050487F">
        <w:trPr>
          <w:trHeight w:val="272"/>
        </w:trPr>
        <w:tc>
          <w:tcPr>
            <w:tcW w:w="3933" w:type="dxa"/>
          </w:tcPr>
          <w:p w:rsidR="00161703" w:rsidRPr="006C63C4" w:rsidRDefault="00161703" w:rsidP="0050487F">
            <w:pPr>
              <w:spacing w:line="336" w:lineRule="auto"/>
              <w:ind w:firstLine="0"/>
              <w:jc w:val="left"/>
              <w:rPr>
                <w:rFonts w:ascii="Times New Roman" w:hAnsi="Times New Roman"/>
                <w:sz w:val="26"/>
                <w:szCs w:val="26"/>
                <w:lang w:val="uk-UA"/>
              </w:rPr>
            </w:pPr>
            <w:r w:rsidRPr="006C63C4">
              <w:rPr>
                <w:rFonts w:ascii="Times New Roman" w:hAnsi="Times New Roman"/>
                <w:sz w:val="26"/>
                <w:szCs w:val="26"/>
                <w:lang w:val="uk-UA"/>
              </w:rPr>
              <w:t xml:space="preserve">Потреба у працівниках, </w:t>
            </w:r>
            <w:r w:rsidRPr="006C63C4">
              <w:rPr>
                <w:rFonts w:ascii="Times New Roman" w:hAnsi="Times New Roman"/>
                <w:iCs/>
                <w:sz w:val="26"/>
                <w:szCs w:val="26"/>
                <w:lang w:val="uk-UA"/>
              </w:rPr>
              <w:t>тис. осіб</w:t>
            </w:r>
          </w:p>
        </w:tc>
        <w:tc>
          <w:tcPr>
            <w:tcW w:w="762"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12,5</w:t>
            </w:r>
          </w:p>
        </w:tc>
        <w:tc>
          <w:tcPr>
            <w:tcW w:w="888"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12,5</w:t>
            </w:r>
          </w:p>
        </w:tc>
        <w:tc>
          <w:tcPr>
            <w:tcW w:w="851"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10,6</w:t>
            </w:r>
          </w:p>
        </w:tc>
        <w:tc>
          <w:tcPr>
            <w:tcW w:w="850"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4,4</w:t>
            </w:r>
          </w:p>
        </w:tc>
        <w:tc>
          <w:tcPr>
            <w:tcW w:w="799"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2,6</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3,3</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2,8</w:t>
            </w:r>
          </w:p>
        </w:tc>
      </w:tr>
      <w:tr w:rsidR="00161703" w:rsidRPr="006F7D5D" w:rsidTr="0050487F">
        <w:trPr>
          <w:trHeight w:val="545"/>
        </w:trPr>
        <w:tc>
          <w:tcPr>
            <w:tcW w:w="3933" w:type="dxa"/>
          </w:tcPr>
          <w:p w:rsidR="00161703" w:rsidRPr="006C63C4" w:rsidRDefault="00161703" w:rsidP="0050487F">
            <w:pPr>
              <w:spacing w:line="336" w:lineRule="auto"/>
              <w:ind w:firstLine="0"/>
              <w:jc w:val="left"/>
              <w:rPr>
                <w:rFonts w:ascii="Times New Roman" w:hAnsi="Times New Roman"/>
                <w:iCs/>
                <w:sz w:val="26"/>
                <w:szCs w:val="26"/>
                <w:lang w:val="uk-UA"/>
              </w:rPr>
            </w:pPr>
            <w:r w:rsidRPr="006C63C4">
              <w:rPr>
                <w:rFonts w:ascii="Times New Roman" w:hAnsi="Times New Roman"/>
                <w:sz w:val="26"/>
                <w:szCs w:val="26"/>
                <w:lang w:val="uk-UA"/>
              </w:rPr>
              <w:t xml:space="preserve">Навантаження на 1 вільне робоче місце, </w:t>
            </w:r>
            <w:r w:rsidRPr="006C63C4">
              <w:rPr>
                <w:rFonts w:ascii="Times New Roman" w:hAnsi="Times New Roman"/>
                <w:iCs/>
                <w:sz w:val="26"/>
                <w:szCs w:val="26"/>
                <w:lang w:val="uk-UA"/>
              </w:rPr>
              <w:t>осіб</w:t>
            </w:r>
          </w:p>
        </w:tc>
        <w:tc>
          <w:tcPr>
            <w:tcW w:w="762"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4</w:t>
            </w:r>
          </w:p>
        </w:tc>
        <w:tc>
          <w:tcPr>
            <w:tcW w:w="888"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3</w:t>
            </w:r>
          </w:p>
        </w:tc>
        <w:tc>
          <w:tcPr>
            <w:tcW w:w="851"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3</w:t>
            </w:r>
          </w:p>
        </w:tc>
        <w:tc>
          <w:tcPr>
            <w:tcW w:w="850"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11</w:t>
            </w:r>
          </w:p>
        </w:tc>
        <w:tc>
          <w:tcPr>
            <w:tcW w:w="799"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12</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10</w:t>
            </w:r>
          </w:p>
        </w:tc>
        <w:tc>
          <w:tcPr>
            <w:tcW w:w="825" w:type="dxa"/>
          </w:tcPr>
          <w:p w:rsidR="00161703" w:rsidRPr="006C63C4" w:rsidRDefault="00161703" w:rsidP="0050487F">
            <w:pPr>
              <w:ind w:firstLine="0"/>
              <w:jc w:val="center"/>
              <w:rPr>
                <w:rFonts w:ascii="Times New Roman" w:hAnsi="Times New Roman"/>
                <w:spacing w:val="-20"/>
                <w:sz w:val="26"/>
                <w:szCs w:val="26"/>
                <w:lang w:val="uk-UA"/>
              </w:rPr>
            </w:pPr>
            <w:r w:rsidRPr="006C63C4">
              <w:rPr>
                <w:rFonts w:ascii="Times New Roman" w:hAnsi="Times New Roman"/>
                <w:spacing w:val="-20"/>
                <w:sz w:val="26"/>
                <w:szCs w:val="26"/>
                <w:lang w:val="uk-UA"/>
              </w:rPr>
              <w:t>11</w:t>
            </w:r>
          </w:p>
        </w:tc>
      </w:tr>
    </w:tbl>
    <w:p w:rsidR="00161703" w:rsidRPr="009B719C" w:rsidRDefault="00161703" w:rsidP="00161703">
      <w:pPr>
        <w:pStyle w:val="a6"/>
        <w:ind w:left="709" w:hanging="709"/>
        <w:jc w:val="center"/>
        <w:rPr>
          <w:rFonts w:ascii="Times New Roman" w:hAnsi="Times New Roman"/>
          <w:i/>
          <w:sz w:val="26"/>
          <w:szCs w:val="26"/>
          <w:lang w:val="uk-UA"/>
        </w:rPr>
      </w:pPr>
      <w:r w:rsidRPr="009B719C">
        <w:rPr>
          <w:rFonts w:ascii="Times New Roman" w:hAnsi="Times New Roman"/>
          <w:i/>
          <w:sz w:val="26"/>
          <w:szCs w:val="26"/>
          <w:lang w:val="uk-UA"/>
        </w:rPr>
        <w:t>Наука та освіта</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У результаті трансформації господарських відносин і зміни економічних пріоритетів Україна значною мірою знизила конкурентоспроможність у сфері високих технологій, але Харківська область змогла зберегти свій науково-технічний потенціал.</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Харківський регіон по кількості наукових і науково-технологічних організацій займає друге місце в країні після м. Києва і перше серед регіонів України. Тут зосереджено 56% основних засобів науково-технічної діяльності, 15 % всіх науково-дослідних інститутів України, 20% конструкторських організацій, понад 16% наукових співробітників.</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Науковою і науково-технічною діяльністю в області займаються близько 200 організацій, серед них: 18 установ Національної академії Наук України; 70 вищих навчальних закладів І-IV рівнів акредитації; 46 вищих учбових закладів III-IV рівня акредитації; 4 національних наукових центрів.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У сфері науки працює 24,9 тис. ос., в тому числі 52 академіки і 86 членів-кореспондентів, які представляють Харківщину у національній та галузевих академіях наук, 621 доктора наук і 2814 кандидатів наук.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Харківщина є батьківщиною всесвітньо відомих наукових шкіл, до підстави яких були причетні учені зі світовими іменами – фізики Л. Ландау, Д. </w:t>
      </w:r>
      <w:proofErr w:type="spellStart"/>
      <w:r w:rsidRPr="009B719C">
        <w:rPr>
          <w:rFonts w:ascii="Times New Roman" w:hAnsi="Times New Roman"/>
          <w:sz w:val="26"/>
          <w:szCs w:val="26"/>
          <w:lang w:val="uk-UA"/>
        </w:rPr>
        <w:t>Синельников</w:t>
      </w:r>
      <w:proofErr w:type="spellEnd"/>
      <w:r w:rsidRPr="009B719C">
        <w:rPr>
          <w:rFonts w:ascii="Times New Roman" w:hAnsi="Times New Roman"/>
          <w:sz w:val="26"/>
          <w:szCs w:val="26"/>
          <w:lang w:val="uk-UA"/>
        </w:rPr>
        <w:t xml:space="preserve">, Б. </w:t>
      </w:r>
      <w:proofErr w:type="spellStart"/>
      <w:r w:rsidRPr="009B719C">
        <w:rPr>
          <w:rFonts w:ascii="Times New Roman" w:hAnsi="Times New Roman"/>
          <w:sz w:val="26"/>
          <w:szCs w:val="26"/>
          <w:lang w:val="uk-UA"/>
        </w:rPr>
        <w:t>Лазарев</w:t>
      </w:r>
      <w:proofErr w:type="spellEnd"/>
      <w:r w:rsidRPr="009B719C">
        <w:rPr>
          <w:rFonts w:ascii="Times New Roman" w:hAnsi="Times New Roman"/>
          <w:sz w:val="26"/>
          <w:szCs w:val="26"/>
          <w:lang w:val="uk-UA"/>
        </w:rPr>
        <w:t xml:space="preserve">, Б. </w:t>
      </w:r>
      <w:proofErr w:type="spellStart"/>
      <w:r w:rsidRPr="009B719C">
        <w:rPr>
          <w:rFonts w:ascii="Times New Roman" w:hAnsi="Times New Roman"/>
          <w:sz w:val="26"/>
          <w:szCs w:val="26"/>
          <w:lang w:val="uk-UA"/>
        </w:rPr>
        <w:t>Веркин</w:t>
      </w:r>
      <w:proofErr w:type="spellEnd"/>
      <w:r w:rsidRPr="009B719C">
        <w:rPr>
          <w:rFonts w:ascii="Times New Roman" w:hAnsi="Times New Roman"/>
          <w:sz w:val="26"/>
          <w:szCs w:val="26"/>
          <w:lang w:val="uk-UA"/>
        </w:rPr>
        <w:t xml:space="preserve">, А. Іоффе, А. Вальтер, астроном М. </w:t>
      </w:r>
      <w:proofErr w:type="spellStart"/>
      <w:r w:rsidRPr="009B719C">
        <w:rPr>
          <w:rFonts w:ascii="Times New Roman" w:hAnsi="Times New Roman"/>
          <w:sz w:val="26"/>
          <w:szCs w:val="26"/>
          <w:lang w:val="uk-UA"/>
        </w:rPr>
        <w:t>Барабашов</w:t>
      </w:r>
      <w:proofErr w:type="spellEnd"/>
      <w:r w:rsidRPr="009B719C">
        <w:rPr>
          <w:rFonts w:ascii="Times New Roman" w:hAnsi="Times New Roman"/>
          <w:sz w:val="26"/>
          <w:szCs w:val="26"/>
          <w:lang w:val="uk-UA"/>
        </w:rPr>
        <w:t xml:space="preserve">, </w:t>
      </w:r>
      <w:r w:rsidRPr="009B719C">
        <w:rPr>
          <w:rFonts w:ascii="Times New Roman" w:hAnsi="Times New Roman"/>
          <w:sz w:val="26"/>
          <w:szCs w:val="26"/>
          <w:lang w:val="uk-UA"/>
        </w:rPr>
        <w:lastRenderedPageBreak/>
        <w:t xml:space="preserve">математики І. </w:t>
      </w:r>
      <w:proofErr w:type="spellStart"/>
      <w:r w:rsidRPr="009B719C">
        <w:rPr>
          <w:rFonts w:ascii="Times New Roman" w:hAnsi="Times New Roman"/>
          <w:sz w:val="26"/>
          <w:szCs w:val="26"/>
          <w:lang w:val="uk-UA"/>
        </w:rPr>
        <w:t>Ахиезер</w:t>
      </w:r>
      <w:proofErr w:type="spellEnd"/>
      <w:r w:rsidRPr="009B719C">
        <w:rPr>
          <w:rFonts w:ascii="Times New Roman" w:hAnsi="Times New Roman"/>
          <w:sz w:val="26"/>
          <w:szCs w:val="26"/>
          <w:lang w:val="uk-UA"/>
        </w:rPr>
        <w:t xml:space="preserve">, М. Остроградський, хіміки М. </w:t>
      </w:r>
      <w:proofErr w:type="spellStart"/>
      <w:r w:rsidRPr="009B719C">
        <w:rPr>
          <w:rFonts w:ascii="Times New Roman" w:hAnsi="Times New Roman"/>
          <w:sz w:val="26"/>
          <w:szCs w:val="26"/>
          <w:lang w:val="uk-UA"/>
        </w:rPr>
        <w:t>Бекетов</w:t>
      </w:r>
      <w:proofErr w:type="spellEnd"/>
      <w:r w:rsidRPr="009B719C">
        <w:rPr>
          <w:rFonts w:ascii="Times New Roman" w:hAnsi="Times New Roman"/>
          <w:sz w:val="26"/>
          <w:szCs w:val="26"/>
          <w:lang w:val="uk-UA"/>
        </w:rPr>
        <w:t xml:space="preserve">, О. Палладін, біологи І. Мечників, В. </w:t>
      </w:r>
      <w:proofErr w:type="spellStart"/>
      <w:r w:rsidRPr="009B719C">
        <w:rPr>
          <w:rFonts w:ascii="Times New Roman" w:hAnsi="Times New Roman"/>
          <w:sz w:val="26"/>
          <w:szCs w:val="26"/>
          <w:lang w:val="uk-UA"/>
        </w:rPr>
        <w:t>Юрьєв</w:t>
      </w:r>
      <w:proofErr w:type="spellEnd"/>
      <w:r w:rsidRPr="009B719C">
        <w:rPr>
          <w:rFonts w:ascii="Times New Roman" w:hAnsi="Times New Roman"/>
          <w:sz w:val="26"/>
          <w:szCs w:val="26"/>
          <w:lang w:val="uk-UA"/>
        </w:rPr>
        <w:t xml:space="preserve"> та інші.  У Харківському регіоні вперше в Європі був розщеплений атом, створений щонайпотужніший в світі радіотелескоп, розроблений прискорювач елементарних часток і запропоновані  новітні радіаційні і космічні технології, унікальні установки зондування радіолокації атмосфери і вирощування монокристалів.</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Один із найбільший центр фізичної науки в Україні - Харківський фізико-технічний інститут (ННЦ ХФТІ), де була утворена всесвітньо відома школа теоретичної фізики, отримані рідкий водень і гелій, побудована перша установка радіолокації. Інститут став родоначальником </w:t>
      </w:r>
      <w:proofErr w:type="spellStart"/>
      <w:r w:rsidRPr="009B719C">
        <w:rPr>
          <w:rFonts w:ascii="Times New Roman" w:hAnsi="Times New Roman"/>
          <w:sz w:val="26"/>
          <w:szCs w:val="26"/>
          <w:lang w:val="uk-UA"/>
        </w:rPr>
        <w:t>високовакуумної</w:t>
      </w:r>
      <w:proofErr w:type="spellEnd"/>
      <w:r w:rsidRPr="009B719C">
        <w:rPr>
          <w:rFonts w:ascii="Times New Roman" w:hAnsi="Times New Roman"/>
          <w:sz w:val="26"/>
          <w:szCs w:val="26"/>
          <w:lang w:val="uk-UA"/>
        </w:rPr>
        <w:t xml:space="preserve"> техніки в СРСР, на основі якої згодом був розвинений новий </w:t>
      </w:r>
      <w:proofErr w:type="spellStart"/>
      <w:r w:rsidRPr="009B719C">
        <w:rPr>
          <w:rFonts w:ascii="Times New Roman" w:hAnsi="Times New Roman"/>
          <w:sz w:val="26"/>
          <w:szCs w:val="26"/>
          <w:lang w:val="uk-UA"/>
        </w:rPr>
        <w:t>фізіко-технологічний</w:t>
      </w:r>
      <w:proofErr w:type="spellEnd"/>
      <w:r w:rsidRPr="009B719C">
        <w:rPr>
          <w:rFonts w:ascii="Times New Roman" w:hAnsi="Times New Roman"/>
          <w:sz w:val="26"/>
          <w:szCs w:val="26"/>
          <w:lang w:val="uk-UA"/>
        </w:rPr>
        <w:t xml:space="preserve"> напрям - вакуумна металургія. У ХФТІ є велика кількість унікальних експериментальних установок, крупне дослідно-експериментальне виробництво.</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На основі наукових відділень ННЦ ХФТІ утворені: Інститут фізики плазми, Науково-дослідний комплекс «Прискорювач», Науково-технічний комплекс «Ядерний паливний цикл», Інститут фізики твердого тіла, матеріалознавства і технологій, Інститут плазмової електроніки і нових методів прискорення, Інститут теоретичної фізики, Інститут фізики високих енергій і ядерної фізики. </w:t>
      </w:r>
    </w:p>
    <w:p w:rsidR="00161703" w:rsidRPr="009B719C" w:rsidRDefault="00161703" w:rsidP="00161703">
      <w:pPr>
        <w:pStyle w:val="a6"/>
        <w:ind w:left="0"/>
        <w:rPr>
          <w:rFonts w:ascii="Times New Roman" w:hAnsi="Times New Roman"/>
          <w:sz w:val="26"/>
          <w:szCs w:val="26"/>
          <w:lang w:val="uk-UA"/>
        </w:rPr>
      </w:pPr>
      <w:r>
        <w:rPr>
          <w:rFonts w:ascii="Times New Roman" w:hAnsi="Times New Roman"/>
          <w:sz w:val="26"/>
          <w:szCs w:val="26"/>
          <w:lang w:val="uk-UA"/>
        </w:rPr>
        <w:t>Не менш відомий в світі Х</w:t>
      </w:r>
      <w:r w:rsidRPr="009B719C">
        <w:rPr>
          <w:rFonts w:ascii="Times New Roman" w:hAnsi="Times New Roman"/>
          <w:sz w:val="26"/>
          <w:szCs w:val="26"/>
          <w:lang w:val="uk-UA"/>
        </w:rPr>
        <w:t xml:space="preserve">арківський НТК «Інститут монокристалів». За останні роки діяльності вченими НТК «Інститут монокристалів» розроблено технології отримання унікальних за розмірами пластмасових сцинтиляторів з розвинутою поверхнею, які за своєю радіаційною стійкістю і </w:t>
      </w:r>
      <w:proofErr w:type="spellStart"/>
      <w:r w:rsidRPr="009B719C">
        <w:rPr>
          <w:rFonts w:ascii="Times New Roman" w:hAnsi="Times New Roman"/>
          <w:sz w:val="26"/>
          <w:szCs w:val="26"/>
          <w:lang w:val="uk-UA"/>
        </w:rPr>
        <w:t>світловиходом</w:t>
      </w:r>
      <w:proofErr w:type="spellEnd"/>
      <w:r w:rsidRPr="009B719C">
        <w:rPr>
          <w:rFonts w:ascii="Times New Roman" w:hAnsi="Times New Roman"/>
          <w:sz w:val="26"/>
          <w:szCs w:val="26"/>
          <w:lang w:val="uk-UA"/>
        </w:rPr>
        <w:t xml:space="preserve"> перевершують кращі світові аналоги, створено унікальні технології і обладнання для автоматизованого вирощування великогабаритних кристалів і виготовлення на їх основі сцинтиляційних детекторів для медичних томографічних гамма-камер. Запропоновано і реалізовано ідею вирощування монокристалів </w:t>
      </w:r>
      <w:proofErr w:type="spellStart"/>
      <w:r w:rsidRPr="009B719C">
        <w:rPr>
          <w:rFonts w:ascii="Times New Roman" w:hAnsi="Times New Roman"/>
          <w:sz w:val="26"/>
          <w:szCs w:val="26"/>
          <w:lang w:val="uk-UA"/>
        </w:rPr>
        <w:t>лейкосапфіру</w:t>
      </w:r>
      <w:proofErr w:type="spellEnd"/>
      <w:r w:rsidRPr="009B719C">
        <w:rPr>
          <w:rFonts w:ascii="Times New Roman" w:hAnsi="Times New Roman"/>
          <w:sz w:val="26"/>
          <w:szCs w:val="26"/>
          <w:lang w:val="uk-UA"/>
        </w:rPr>
        <w:t xml:space="preserve"> в захисних газових середовищах, на основі якої створено нову технологію вирощування великогабаритних кристалів сапфіру. Розроблено нове покоління ростових установок і організовано їх серійний випуск. Розроблено наукові основи спрямованого синтезу люмінофорів із заданими фізичними і хімічними властивостями, знайдено та досліджено низку нових хімічних реакцій, що мають велике фундаментальне значення для теоретичної, експериментальної органічної </w:t>
      </w:r>
      <w:r w:rsidRPr="009B719C">
        <w:rPr>
          <w:rFonts w:ascii="Times New Roman" w:hAnsi="Times New Roman"/>
          <w:sz w:val="26"/>
          <w:szCs w:val="26"/>
          <w:lang w:val="uk-UA"/>
        </w:rPr>
        <w:lastRenderedPageBreak/>
        <w:t xml:space="preserve">хімії та органічного матеріалознавства. Створені </w:t>
      </w:r>
      <w:proofErr w:type="spellStart"/>
      <w:r w:rsidRPr="009B719C">
        <w:rPr>
          <w:rFonts w:ascii="Times New Roman" w:hAnsi="Times New Roman"/>
          <w:sz w:val="26"/>
          <w:szCs w:val="26"/>
          <w:lang w:val="uk-UA"/>
        </w:rPr>
        <w:t>імуноферментні</w:t>
      </w:r>
      <w:proofErr w:type="spellEnd"/>
      <w:r w:rsidRPr="009B719C">
        <w:rPr>
          <w:rFonts w:ascii="Times New Roman" w:hAnsi="Times New Roman"/>
          <w:sz w:val="26"/>
          <w:szCs w:val="26"/>
          <w:lang w:val="uk-UA"/>
        </w:rPr>
        <w:t xml:space="preserve"> тест-системи для ряду захворювань, що передаються через кров, зокрема, ВІЛ/СНІД, вірусні гепатити В і С, комплексу TORCH-інфекція.</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Медична наука представлена такими важливими для життя людини галузями, як фармацевтика,  кріомедицина, медична радіологія, нейрохірургія, мікробіологія, ортопедія і травматологія, неврологія і психіатрія, фармакотерапія і загальна терапія.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Основою фармацевтичної галузі Харкова є Національний фармацевтичний університет (</w:t>
      </w:r>
      <w:proofErr w:type="spellStart"/>
      <w:r w:rsidRPr="009B719C">
        <w:rPr>
          <w:rFonts w:ascii="Times New Roman" w:hAnsi="Times New Roman"/>
          <w:sz w:val="26"/>
          <w:szCs w:val="26"/>
          <w:lang w:val="uk-UA"/>
        </w:rPr>
        <w:t>НФаУ</w:t>
      </w:r>
      <w:proofErr w:type="spellEnd"/>
      <w:r w:rsidRPr="009B719C">
        <w:rPr>
          <w:rFonts w:ascii="Times New Roman" w:hAnsi="Times New Roman"/>
          <w:sz w:val="26"/>
          <w:szCs w:val="26"/>
          <w:lang w:val="uk-UA"/>
        </w:rPr>
        <w:t xml:space="preserve">) – найстарший вищий навчальний заклад України (1805 р.) з найбагатшим досвідом підготовки фармацевтичних кадрів, лідера фармацевтичної освіти, ідеолога розвитку фармацевтичної галузі України. Сьогодні </w:t>
      </w:r>
      <w:proofErr w:type="spellStart"/>
      <w:r w:rsidRPr="009B719C">
        <w:rPr>
          <w:rFonts w:ascii="Times New Roman" w:hAnsi="Times New Roman"/>
          <w:sz w:val="26"/>
          <w:szCs w:val="26"/>
          <w:lang w:val="uk-UA"/>
        </w:rPr>
        <w:t>НФаУ</w:t>
      </w:r>
      <w:proofErr w:type="spellEnd"/>
      <w:r w:rsidRPr="009B719C">
        <w:rPr>
          <w:rFonts w:ascii="Times New Roman" w:hAnsi="Times New Roman"/>
          <w:sz w:val="26"/>
          <w:szCs w:val="26"/>
          <w:lang w:val="uk-UA"/>
        </w:rPr>
        <w:t xml:space="preserve"> – вищий навчальний заклад, акредитований по ІV рівню, навчально-науково-виробничий комплекс.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Підготовка фахівців фармації здійснюється по 6 напрямкам і 14 спеціальностям. Фармацевтичним університетом підготовлено понад 40 тисяч провізорів, провізорів-косметологів, клінічних провізорів, інженерів-технологів і 4000 магістрів фармації для 80 країн світу.</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На сьогоднішній день у Національному фармацевтичному університеті навчається більш 17,5 тисяч студентів, з них близько 1100 студентів з 20 закордонних країн, що підтверджує його високий міжнародний рейтинг.</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Висококваліфіковані кадри підготовлені Університетом знаходять собі вживання у фармацевтичній індустрії Харкова. Їх очікують у ДП «Державний науковий центр лікарських засобів і виробів медичного призначення» (ДП «ДНЦЛС») - першому на Україні і СНД науково - дослідницькому центрі в області створення </w:t>
      </w:r>
      <w:proofErr w:type="spellStart"/>
      <w:r w:rsidRPr="009B719C">
        <w:rPr>
          <w:rFonts w:ascii="Times New Roman" w:hAnsi="Times New Roman"/>
          <w:sz w:val="26"/>
          <w:szCs w:val="26"/>
          <w:lang w:val="uk-UA"/>
        </w:rPr>
        <w:t>субстанцій</w:t>
      </w:r>
      <w:proofErr w:type="spellEnd"/>
      <w:r w:rsidRPr="009B719C">
        <w:rPr>
          <w:rFonts w:ascii="Times New Roman" w:hAnsi="Times New Roman"/>
          <w:sz w:val="26"/>
          <w:szCs w:val="26"/>
          <w:lang w:val="uk-UA"/>
        </w:rPr>
        <w:t>, препаратів і технологій та їх виробництва. З моменту створення (1920 р.) і до цього дня діяльність ПП направлена на розробку і впровадження на виробництві ефективних лікарських засобів. По розробках ДП «ДНЦЛС»  українськими виробниками лікарських препаратів випускається продукції більш ніж на 40 млн</w:t>
      </w:r>
      <w:r>
        <w:rPr>
          <w:rFonts w:ascii="Times New Roman" w:hAnsi="Times New Roman"/>
          <w:sz w:val="26"/>
          <w:szCs w:val="26"/>
          <w:lang w:val="uk-UA"/>
        </w:rPr>
        <w:t>.</w:t>
      </w:r>
      <w:r w:rsidRPr="009B719C">
        <w:rPr>
          <w:rFonts w:ascii="Times New Roman" w:hAnsi="Times New Roman"/>
          <w:sz w:val="26"/>
          <w:szCs w:val="26"/>
          <w:lang w:val="uk-UA"/>
        </w:rPr>
        <w:t xml:space="preserve"> дол. в рік. Кожен п'ятий препарат вітчизняного виробництва — розробка наукового центру. На даний момент об'єм розроблених препаратів ДКП «ДНЦЛС» в загальному об'ємі ринку складає 8 %, у об'ємі ринку вітчизняних лікарських засобів — майже 20 %. Сьогодні науковий центр сам або в </w:t>
      </w:r>
      <w:r w:rsidRPr="009B719C">
        <w:rPr>
          <w:rFonts w:ascii="Times New Roman" w:hAnsi="Times New Roman"/>
          <w:sz w:val="26"/>
          <w:szCs w:val="26"/>
          <w:lang w:val="uk-UA"/>
        </w:rPr>
        <w:lastRenderedPageBreak/>
        <w:t>співавторстві із заводами України володіє 251 патентом, з них 55 — спільно з Російською Федерацією.</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Освітня діяльність Національного фармацевтичного університету та розробки «Державного наукового центру лікарських засобів і виробів медичного призначення» є основою на який діють  у Харкові  різноманітні, як державні так і недержавні фармацевтичні компанії.</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Хіміко-фармацевтичний завод «Червона зірка» заснований в 1923 році і є одним з перших фармацевтичних підприємств України. На сьогоднішній день асортимент продукції ХФЗ «Червона зірка» включ</w:t>
      </w:r>
      <w:r>
        <w:rPr>
          <w:rFonts w:ascii="Times New Roman" w:hAnsi="Times New Roman"/>
          <w:sz w:val="26"/>
          <w:szCs w:val="26"/>
          <w:lang w:val="uk-UA"/>
        </w:rPr>
        <w:t xml:space="preserve">ає препарати 25 </w:t>
      </w:r>
      <w:proofErr w:type="spellStart"/>
      <w:r>
        <w:rPr>
          <w:rFonts w:ascii="Times New Roman" w:hAnsi="Times New Roman"/>
          <w:sz w:val="26"/>
          <w:szCs w:val="26"/>
          <w:lang w:val="uk-UA"/>
        </w:rPr>
        <w:t>фармако-терапевтичних</w:t>
      </w:r>
      <w:proofErr w:type="spellEnd"/>
      <w:r w:rsidRPr="009B719C">
        <w:rPr>
          <w:rFonts w:ascii="Times New Roman" w:hAnsi="Times New Roman"/>
          <w:sz w:val="26"/>
          <w:szCs w:val="26"/>
          <w:lang w:val="uk-UA"/>
        </w:rPr>
        <w:t xml:space="preserve"> груп і охоплює тверді (пігулки, капсули), м'які (мазі, гелі, лініменти) і рідкі (спиртні настойки і розчини) лікарські форми.</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Зокрема, АТ «СТОМА» - український виробник штучних зубів, стоматологічних матеріалів і лікарських засобів. Заснований в 1929 році «Харківський завод медичних пластмас та стоматологічних матеріалів» на сьогоднішній день </w:t>
      </w:r>
      <w:proofErr w:type="spellStart"/>
      <w:r w:rsidRPr="009B719C">
        <w:rPr>
          <w:rFonts w:ascii="Times New Roman" w:hAnsi="Times New Roman"/>
          <w:sz w:val="26"/>
          <w:szCs w:val="26"/>
          <w:lang w:val="uk-UA"/>
        </w:rPr>
        <w:t>розвинувся</w:t>
      </w:r>
      <w:proofErr w:type="spellEnd"/>
      <w:r w:rsidRPr="009B719C">
        <w:rPr>
          <w:rFonts w:ascii="Times New Roman" w:hAnsi="Times New Roman"/>
          <w:sz w:val="26"/>
          <w:szCs w:val="26"/>
          <w:lang w:val="uk-UA"/>
        </w:rPr>
        <w:t xml:space="preserve"> в одне з найбільших медичних підприємств на території СНД.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«Науково-виробнича фармацевтична компанія «ЕЙМ» - це унікальне фармацевтичне підприємство, що працює у сфері виробництва оригінальних лікарських препаратів з 1994 року, яке має повний цикл випуску: розробка, створення і впровадження у виробництво лікарських засобів.</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У Харкові історично виникла і розвивалася мережа галузевих науково-дослідних та проектне - конструкторських  установ, які у своїх розробках  використовувала  фундаментальні дослідження НДІ. Це була система, що повноцінно діяла та дозволяла проходіть весь ланцюжок, - від фундаментального знання до промислового або споживчого продукту.</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В нових економічних умовах ця система була істотно порушена, але і сьогодні в Харкові успішно працюють такі галузеві науково-дослідні установи, як:</w:t>
      </w:r>
    </w:p>
    <w:p w:rsidR="00161703" w:rsidRPr="009B719C" w:rsidRDefault="00161703" w:rsidP="00161703">
      <w:pPr>
        <w:pStyle w:val="a6"/>
        <w:numPr>
          <w:ilvl w:val="0"/>
          <w:numId w:val="1"/>
        </w:numPr>
        <w:ind w:left="0" w:firstLine="709"/>
        <w:rPr>
          <w:rFonts w:ascii="Times New Roman" w:hAnsi="Times New Roman"/>
          <w:sz w:val="26"/>
          <w:szCs w:val="26"/>
          <w:lang w:val="uk-UA"/>
        </w:rPr>
      </w:pPr>
      <w:r w:rsidRPr="009B719C">
        <w:rPr>
          <w:rFonts w:ascii="Times New Roman" w:hAnsi="Times New Roman"/>
          <w:sz w:val="26"/>
          <w:szCs w:val="26"/>
          <w:lang w:val="uk-UA"/>
        </w:rPr>
        <w:t>Український державний науково-технічний центр з технології та обладнання, обробки металів, захисту навколишнього середовища та використання вторинних ресурсів для металургії та машинобудування «</w:t>
      </w:r>
      <w:proofErr w:type="spellStart"/>
      <w:r w:rsidRPr="009B719C">
        <w:rPr>
          <w:rFonts w:ascii="Times New Roman" w:hAnsi="Times New Roman"/>
          <w:sz w:val="26"/>
          <w:szCs w:val="26"/>
          <w:lang w:val="uk-UA"/>
        </w:rPr>
        <w:t>Енергосталь</w:t>
      </w:r>
      <w:proofErr w:type="spellEnd"/>
      <w:r w:rsidRPr="009B719C">
        <w:rPr>
          <w:rFonts w:ascii="Times New Roman" w:hAnsi="Times New Roman"/>
          <w:sz w:val="26"/>
          <w:szCs w:val="26"/>
          <w:lang w:val="uk-UA"/>
        </w:rPr>
        <w:t xml:space="preserve">», який виконує широкий спектр науково-дослідних та проектно-конструкторських робіт в галузі металургійних технологій; </w:t>
      </w:r>
    </w:p>
    <w:p w:rsidR="00161703" w:rsidRPr="009B719C" w:rsidRDefault="00161703" w:rsidP="00161703">
      <w:pPr>
        <w:pStyle w:val="a6"/>
        <w:numPr>
          <w:ilvl w:val="0"/>
          <w:numId w:val="1"/>
        </w:numPr>
        <w:ind w:left="0" w:firstLine="709"/>
        <w:rPr>
          <w:rFonts w:ascii="Times New Roman" w:hAnsi="Times New Roman"/>
          <w:sz w:val="26"/>
          <w:szCs w:val="26"/>
          <w:lang w:val="uk-UA"/>
        </w:rPr>
      </w:pPr>
      <w:r w:rsidRPr="009B719C">
        <w:rPr>
          <w:rFonts w:ascii="Times New Roman" w:hAnsi="Times New Roman"/>
          <w:sz w:val="26"/>
          <w:szCs w:val="26"/>
          <w:lang w:val="uk-UA"/>
        </w:rPr>
        <w:lastRenderedPageBreak/>
        <w:t>Державний інститут по проектуванню підприємств коксохімічної промисловості (</w:t>
      </w:r>
      <w:proofErr w:type="spellStart"/>
      <w:r>
        <w:rPr>
          <w:rFonts w:ascii="Times New Roman" w:hAnsi="Times New Roman"/>
          <w:sz w:val="26"/>
          <w:szCs w:val="26"/>
          <w:lang w:val="uk-UA"/>
        </w:rPr>
        <w:t>Гі</w:t>
      </w:r>
      <w:r w:rsidRPr="009B719C">
        <w:rPr>
          <w:rFonts w:ascii="Times New Roman" w:hAnsi="Times New Roman"/>
          <w:sz w:val="26"/>
          <w:szCs w:val="26"/>
          <w:lang w:val="uk-UA"/>
        </w:rPr>
        <w:t>прококс</w:t>
      </w:r>
      <w:proofErr w:type="spellEnd"/>
      <w:r w:rsidRPr="009B719C">
        <w:rPr>
          <w:rFonts w:ascii="Times New Roman" w:hAnsi="Times New Roman"/>
          <w:sz w:val="26"/>
          <w:szCs w:val="26"/>
          <w:lang w:val="uk-UA"/>
        </w:rPr>
        <w:t>) який виконує конструкторські та технологічні розробки в коксохімічній галузі;</w:t>
      </w:r>
    </w:p>
    <w:p w:rsidR="00161703" w:rsidRPr="009B719C" w:rsidRDefault="00161703" w:rsidP="00161703">
      <w:pPr>
        <w:pStyle w:val="a6"/>
        <w:numPr>
          <w:ilvl w:val="0"/>
          <w:numId w:val="1"/>
        </w:numPr>
        <w:ind w:left="0" w:firstLine="709"/>
        <w:rPr>
          <w:rFonts w:ascii="Times New Roman" w:hAnsi="Times New Roman"/>
          <w:sz w:val="26"/>
          <w:szCs w:val="26"/>
          <w:lang w:val="uk-UA"/>
        </w:rPr>
      </w:pPr>
      <w:r w:rsidRPr="009B719C">
        <w:rPr>
          <w:rFonts w:ascii="Times New Roman" w:hAnsi="Times New Roman"/>
          <w:sz w:val="26"/>
          <w:szCs w:val="26"/>
          <w:lang w:val="uk-UA"/>
        </w:rPr>
        <w:t>Український державний науково-дослідний вуглехімічний інститут (УХІН) , який розробляє технології отримання хімічних продуктів на підставі переробки горючих копалин та технології переробки горючих копалин фізичними та хімічними методами;</w:t>
      </w:r>
    </w:p>
    <w:p w:rsidR="00161703" w:rsidRPr="009B719C" w:rsidRDefault="00161703" w:rsidP="00161703">
      <w:pPr>
        <w:pStyle w:val="a6"/>
        <w:numPr>
          <w:ilvl w:val="0"/>
          <w:numId w:val="1"/>
        </w:numPr>
        <w:ind w:left="0" w:firstLine="709"/>
        <w:rPr>
          <w:rFonts w:ascii="Times New Roman" w:hAnsi="Times New Roman"/>
          <w:sz w:val="26"/>
          <w:szCs w:val="26"/>
          <w:lang w:val="uk-UA"/>
        </w:rPr>
      </w:pPr>
      <w:r w:rsidRPr="009B719C">
        <w:rPr>
          <w:rFonts w:ascii="Times New Roman" w:hAnsi="Times New Roman"/>
          <w:sz w:val="26"/>
          <w:szCs w:val="26"/>
          <w:lang w:val="uk-UA"/>
        </w:rPr>
        <w:t xml:space="preserve">Український державний головний науково-дослідний і виробничий інститут інженерно-технічних і екологічних вишукувань </w:t>
      </w:r>
      <w:proofErr w:type="spellStart"/>
      <w:r w:rsidRPr="009B719C">
        <w:rPr>
          <w:rFonts w:ascii="Times New Roman" w:hAnsi="Times New Roman"/>
          <w:sz w:val="26"/>
          <w:szCs w:val="26"/>
          <w:lang w:val="uk-UA"/>
        </w:rPr>
        <w:t>УкрНДІІНТВ</w:t>
      </w:r>
      <w:proofErr w:type="spellEnd"/>
      <w:r w:rsidRPr="009B719C">
        <w:rPr>
          <w:rFonts w:ascii="Times New Roman" w:hAnsi="Times New Roman"/>
          <w:sz w:val="26"/>
          <w:szCs w:val="26"/>
          <w:lang w:val="uk-UA"/>
        </w:rPr>
        <w:t>, який спеціалізується в області комплексних інженерно-технічних вишукувань для будівництва;</w:t>
      </w:r>
    </w:p>
    <w:p w:rsidR="00161703" w:rsidRPr="009B719C" w:rsidRDefault="00161703" w:rsidP="00161703">
      <w:pPr>
        <w:pStyle w:val="a6"/>
        <w:numPr>
          <w:ilvl w:val="0"/>
          <w:numId w:val="1"/>
        </w:numPr>
        <w:ind w:left="0" w:firstLine="709"/>
        <w:rPr>
          <w:rFonts w:ascii="Times New Roman" w:hAnsi="Times New Roman"/>
          <w:sz w:val="26"/>
          <w:szCs w:val="26"/>
          <w:lang w:val="uk-UA"/>
        </w:rPr>
      </w:pPr>
      <w:r w:rsidRPr="009B719C">
        <w:rPr>
          <w:rFonts w:ascii="Times New Roman" w:hAnsi="Times New Roman"/>
          <w:sz w:val="26"/>
          <w:szCs w:val="26"/>
          <w:lang w:val="uk-UA"/>
        </w:rPr>
        <w:t>Український державний інститут по проектуванню заводів важкого машинобудування, який спеціалізується в сфері  проектування та надання інжинірингових послуг в галузі будівництва машинобудівного комплексу.</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Але обсяг виконуваних робіт у більшості галузевих науково-дослідних та проектне - конструкторських  установ Харкова істотно зменшився.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У Харківській області зберігається найвищий серед регіонів України рівень кількості студентів на 10 000 населення (907 осіб). Спектр освітніх послуг навчальних закладів надає можливість отримати вищу освіту за 355 напрямами підготовки. Статус національних мають 17 вищих навчальних закладів. У вищих навчальних закладах І-IV рівнів акредитації на початок 2011/12 навчального року навчалося 255,7 тис. студентів.</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Регіон лідирує за кількістю іноземних студентів, які обирають харківські ВНЗ завдяки поєднанню в процесі навчання глибоких теоретичних знань і практичної підготовки до майбутньої професії. </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Один з найстаріших всемірно відомих закладів Харкова, який сполучає освіту з науковою діяльністю - Харківський національний медичний університет. Університет сьогодні це сучасний багатопрофільний навчальний заклад із потужною науковою й матеріально-технічною базою, що нараховує 6 навчальних науково-виробничих об'єднань, 2 наукові інститути: Науково-дослідний інститут гігієни праці та професійних захворювань, Український інститут клінічної генетики; лікувально-навчально-науковий підрозділ «Університетський </w:t>
      </w:r>
      <w:r w:rsidRPr="009B719C">
        <w:rPr>
          <w:rFonts w:ascii="Times New Roman" w:hAnsi="Times New Roman"/>
          <w:sz w:val="26"/>
          <w:szCs w:val="26"/>
          <w:lang w:val="uk-UA"/>
        </w:rPr>
        <w:lastRenderedPageBreak/>
        <w:t xml:space="preserve">стоматологічний центр»; науково-практичний медичний центр; Український науково-практичний медичний центр акушерства, гінекології та </w:t>
      </w:r>
      <w:proofErr w:type="spellStart"/>
      <w:r w:rsidRPr="009B719C">
        <w:rPr>
          <w:rFonts w:ascii="Times New Roman" w:hAnsi="Times New Roman"/>
          <w:sz w:val="26"/>
          <w:szCs w:val="26"/>
          <w:lang w:val="uk-UA"/>
        </w:rPr>
        <w:t>репродуктології</w:t>
      </w:r>
      <w:proofErr w:type="spellEnd"/>
      <w:r w:rsidRPr="009B719C">
        <w:rPr>
          <w:rFonts w:ascii="Times New Roman" w:hAnsi="Times New Roman"/>
          <w:sz w:val="26"/>
          <w:szCs w:val="26"/>
          <w:lang w:val="uk-UA"/>
        </w:rPr>
        <w:t>, медичний коледж; Центральна науково-дослідна лабораторія, 4 проблемні лабораторії, навчально-науковий центр із базою класів фантомних технологій навчання та комп’ютерних класів, обчислювальний центр.</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Україна – одна з небагатьох країн світу, в яких розробляється і виробляється авіаційна і космічна техніка, а також готуються кваліфіковані фахівці для цієї галузі. Національний аерокосмічний університет «Харківський авіаційний інститут» є провідним учбовим закладом в системі державної освіти, який сполучає освіту з науковою, проектною і конструкторською діяльністю. ХАЇ здійснює комплексну підготовку фахівців для авіаційно-космічної галузі. У серпні 1998 року на базі  Харківського авіаційного інституту був створений Державний аерокосмічний університет імені Н.Е. Жуковського «ХАЇ». За роки свого існування університет підготував більше 53 тисяч інженерів. Серед фахівців з вищою освітою, що працюють у </w:t>
      </w:r>
      <w:proofErr w:type="spellStart"/>
      <w:r w:rsidRPr="009B719C">
        <w:rPr>
          <w:rFonts w:ascii="Times New Roman" w:hAnsi="Times New Roman"/>
          <w:sz w:val="26"/>
          <w:szCs w:val="26"/>
          <w:lang w:val="uk-UA"/>
        </w:rPr>
        <w:t>авіаційно</w:t>
      </w:r>
      <w:proofErr w:type="spellEnd"/>
      <w:r w:rsidRPr="009B719C">
        <w:rPr>
          <w:rFonts w:ascii="Times New Roman" w:hAnsi="Times New Roman"/>
          <w:sz w:val="26"/>
          <w:szCs w:val="26"/>
          <w:lang w:val="uk-UA"/>
        </w:rPr>
        <w:t xml:space="preserve"> - космічній галузі України, 80% - випускники ХАЇ. Університет по праву пишається досягненнями своїх вчених в області надзвукової аеродинаміки, міцності авіаційних конструкцій, конструювання авіаційних і ракетних двигунів систем управління літальних апаратів і багато інших. Винаходи учених університету запатентовані більш ніж в 20 країнах світу.</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 xml:space="preserve">Зберігши високий рівень наукових розробок, лабораторії ВНЗ та наукові інститути Харківської області спроможні забезпечити розробку проривних технологій економіки знань, але для цього необхідно побудувати ефективну систему комерціалізації інтелектуальної власності – створити системи трансферу технологій в бізнес і забезпечити  економічне стимулювання інноваційної діяльності. У провідних країнах світу ця задача вирішується шляхом створення технополісів і </w:t>
      </w:r>
      <w:proofErr w:type="spellStart"/>
      <w:r w:rsidRPr="009B719C">
        <w:rPr>
          <w:rFonts w:ascii="Times New Roman" w:hAnsi="Times New Roman"/>
          <w:sz w:val="26"/>
          <w:szCs w:val="26"/>
          <w:lang w:val="uk-UA"/>
        </w:rPr>
        <w:t>наукоградів</w:t>
      </w:r>
      <w:proofErr w:type="spellEnd"/>
      <w:r w:rsidRPr="009B719C">
        <w:rPr>
          <w:rFonts w:ascii="Times New Roman" w:hAnsi="Times New Roman"/>
          <w:sz w:val="26"/>
          <w:szCs w:val="26"/>
          <w:lang w:val="uk-UA"/>
        </w:rPr>
        <w:t>, як територій пріоритетного інноваційного розвитку з наданням податкових пільг та інших преференцій на їх територіях.</w:t>
      </w:r>
    </w:p>
    <w:p w:rsidR="00161703" w:rsidRPr="009B719C" w:rsidRDefault="00161703" w:rsidP="00161703">
      <w:pPr>
        <w:pStyle w:val="a6"/>
        <w:shd w:val="clear" w:color="auto" w:fill="FFFFFF"/>
        <w:ind w:left="709" w:hanging="709"/>
        <w:jc w:val="center"/>
        <w:rPr>
          <w:rFonts w:ascii="Times New Roman" w:hAnsi="Times New Roman"/>
          <w:i/>
          <w:sz w:val="26"/>
          <w:szCs w:val="26"/>
          <w:lang w:val="uk-UA"/>
        </w:rPr>
      </w:pPr>
      <w:r w:rsidRPr="009B719C">
        <w:rPr>
          <w:rFonts w:ascii="Times New Roman" w:hAnsi="Times New Roman"/>
          <w:i/>
          <w:sz w:val="26"/>
          <w:szCs w:val="26"/>
          <w:lang w:val="uk-UA"/>
        </w:rPr>
        <w:t>Рейтингова оцінка регіону</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За результатами дослідження рейтингу конкурентоспроможності регіонів, що проведено фондом «Ефективне управління» у 2011 р. щодо індексу глобальної конкурентоспроможності Харківська область займає 3 місце серед 27 регіонів України, її випереджають м. Київ та Дніпропетровська область.</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lastRenderedPageBreak/>
        <w:t>3-є місце також область займає за факторами розвитку інноваційного потенціалу. Регіон має конкуренті переваги за інноваційною складовою, вищою освітою та професійною підготовкою, розвитку інфраструктури та розміру внутрішнього ринку товарів та послуг.</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Область лідирує за інноваційною складовою за рахунок високої оцінки наявності наукових та інженерних кадрів (2-місце), схильності до інновацій (3 місце) та співробітництва університетів і бізнесу у дослідженнях (3 місце). В регіоні також сильна позиція за абсолютною кількістю виданих патентів на винаходи, за цим показником область займає 3 місце після м. Севастополя та м. Києва. Слабким місцем цієї складової є витрати компаній на науково-дослідницькі, конструкторські роботи (10-місце) та охорона інтелектуальної власності (18-місце).</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Харківський регіон зайняв 2 місце за складовою «вища освіта та професійна підготовка», завдяки високим показникам охоплення вищою та середньою освітою (1 та 6 місце відповідно). Показник охоплення вищою освітою в регіоні перевищив 100%, разом з Києвом Харківська область розділяє 1 місце серед інших країн світу. Також високу оцінку отримав показник якості бізнес-шкіл (3 місце) та системи освіти в цілому (6-місце). Однак у міжнародному порівнянні якість бізнес-шкіл займає  набагато нижчу 117 позицію.</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Висока позиція області за складовою «розмір ринку». За індексом розміру внутрішнього ринку область займає 3 місце, а за індексом розміру зовнішнього ринку – 8 місце.</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Інфраструктура області теж отримала високі оцінки: якість залізничної інфраструктури – 1 місце, інфраструктури повітряних перевезень – 2 місце, електропостачання – 4 місце. Статистичні показники кількості телефонних ліній та кількості абонентів мобільного зв’язку теж достатньо високі – 5 та 6 місця відповідно.</w:t>
      </w:r>
    </w:p>
    <w:p w:rsidR="00161703" w:rsidRPr="009B719C" w:rsidRDefault="00161703" w:rsidP="00161703">
      <w:pPr>
        <w:pStyle w:val="a6"/>
        <w:shd w:val="clear" w:color="auto" w:fill="FFFFFF"/>
        <w:ind w:left="709" w:hanging="709"/>
        <w:jc w:val="center"/>
        <w:rPr>
          <w:rFonts w:ascii="Times New Roman" w:hAnsi="Times New Roman"/>
          <w:sz w:val="26"/>
          <w:szCs w:val="26"/>
          <w:lang w:val="uk-UA"/>
        </w:rPr>
      </w:pPr>
      <w:r>
        <w:rPr>
          <w:rFonts w:ascii="Times New Roman" w:hAnsi="Times New Roman"/>
          <w:noProof/>
          <w:sz w:val="26"/>
          <w:szCs w:val="26"/>
          <w:lang w:eastAsia="ru-RU"/>
        </w:rPr>
        <w:lastRenderedPageBreak/>
        <w:drawing>
          <wp:inline distT="0" distB="0" distL="0" distR="0">
            <wp:extent cx="5750560" cy="2785110"/>
            <wp:effectExtent l="0" t="0" r="21590" b="1524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1703" w:rsidRPr="009B719C" w:rsidRDefault="00161703" w:rsidP="00161703">
      <w:pPr>
        <w:pStyle w:val="a6"/>
        <w:shd w:val="clear" w:color="auto" w:fill="FFFFFF"/>
        <w:ind w:left="0" w:firstLine="0"/>
        <w:jc w:val="center"/>
        <w:rPr>
          <w:rFonts w:ascii="Times New Roman" w:hAnsi="Times New Roman"/>
          <w:sz w:val="26"/>
          <w:szCs w:val="26"/>
          <w:lang w:val="uk-UA"/>
        </w:rPr>
      </w:pPr>
      <w:r w:rsidRPr="009B719C">
        <w:rPr>
          <w:rFonts w:ascii="Times New Roman" w:hAnsi="Times New Roman"/>
          <w:sz w:val="26"/>
          <w:szCs w:val="26"/>
          <w:lang w:val="uk-UA"/>
        </w:rPr>
        <w:t>Рис</w:t>
      </w:r>
      <w:r>
        <w:rPr>
          <w:rFonts w:ascii="Times New Roman" w:hAnsi="Times New Roman"/>
          <w:sz w:val="26"/>
          <w:szCs w:val="26"/>
          <w:lang w:val="uk-UA"/>
        </w:rPr>
        <w:t>унок</w:t>
      </w:r>
      <w:r w:rsidRPr="009B719C">
        <w:rPr>
          <w:rFonts w:ascii="Times New Roman" w:hAnsi="Times New Roman"/>
          <w:sz w:val="26"/>
          <w:szCs w:val="26"/>
          <w:lang w:val="uk-UA"/>
        </w:rPr>
        <w:t xml:space="preserve"> 3.8 – Результати Харківської області за 12 складовими конкурентоспроможності</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Область програє іншим регіонам за «інституціями», «ефективністю ринку праці» та «ефективністю ринку товарів». Найпроблемнішими факторами для ведення бізнесу в регіоні є корупція, податкова політика і нестабільність державної політики.</w:t>
      </w:r>
    </w:p>
    <w:p w:rsidR="00161703" w:rsidRPr="009B719C" w:rsidRDefault="00161703" w:rsidP="00161703">
      <w:pPr>
        <w:pStyle w:val="a6"/>
        <w:shd w:val="clear" w:color="auto" w:fill="FFFFFF"/>
        <w:ind w:left="0"/>
        <w:rPr>
          <w:rFonts w:ascii="Times New Roman" w:hAnsi="Times New Roman"/>
          <w:sz w:val="26"/>
          <w:szCs w:val="26"/>
          <w:lang w:val="uk-UA"/>
        </w:rPr>
      </w:pPr>
      <w:r w:rsidRPr="009B719C">
        <w:rPr>
          <w:rFonts w:ascii="Times New Roman" w:hAnsi="Times New Roman"/>
          <w:sz w:val="26"/>
          <w:szCs w:val="26"/>
          <w:lang w:val="uk-UA"/>
        </w:rPr>
        <w:t>Згідно «Стратегії сталого розвитку Харківської області до 2020 року» (надалі – Стратегії), яка затверджена рішенням сесії Харківської обласної ради від  23.12.2010 року № 27-</w:t>
      </w:r>
      <w:r w:rsidRPr="009B719C">
        <w:rPr>
          <w:rFonts w:ascii="Times New Roman" w:hAnsi="Times New Roman"/>
          <w:sz w:val="26"/>
          <w:szCs w:val="26"/>
          <w:lang w:val="en-US"/>
        </w:rPr>
        <w:t>YI</w:t>
      </w:r>
      <w:r w:rsidRPr="009B719C">
        <w:rPr>
          <w:rFonts w:ascii="Times New Roman" w:hAnsi="Times New Roman"/>
          <w:sz w:val="26"/>
          <w:szCs w:val="26"/>
          <w:lang w:val="uk-UA"/>
        </w:rPr>
        <w:t xml:space="preserve">  та розроблена на середню та довгострокову перспективу було визначено 10 пріоритетних напрямів розвитку економіки Харківської області: один з них – розвиток провідних промислових високотехнологічних кластерів в регіоні.</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Згідно Стратегії розвитку у Харківській області ідентифіковано 5 основних промислових інноваційних кластерів (табл. 3.3).</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Таблиця 3.3 – Перелік і характеристика основних промислових високотехнологічних промислових інноваційних кластерів, які підлягають подальшому розвитку в Харківській області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005"/>
        <w:gridCol w:w="1703"/>
        <w:gridCol w:w="1827"/>
        <w:gridCol w:w="1928"/>
      </w:tblGrid>
      <w:tr w:rsidR="00161703" w:rsidRPr="001F5D7B" w:rsidTr="0050487F">
        <w:tc>
          <w:tcPr>
            <w:tcW w:w="2108" w:type="dxa"/>
          </w:tcPr>
          <w:p w:rsidR="00161703" w:rsidRPr="006C63C4" w:rsidRDefault="00161703" w:rsidP="0050487F">
            <w:pPr>
              <w:spacing w:line="240" w:lineRule="auto"/>
              <w:ind w:firstLine="0"/>
              <w:jc w:val="center"/>
              <w:rPr>
                <w:rFonts w:ascii="Times New Roman" w:hAnsi="Times New Roman"/>
                <w:sz w:val="24"/>
                <w:szCs w:val="24"/>
                <w:lang w:val="uk-UA"/>
              </w:rPr>
            </w:pPr>
            <w:r w:rsidRPr="006C63C4">
              <w:rPr>
                <w:rFonts w:ascii="Times New Roman" w:hAnsi="Times New Roman"/>
                <w:sz w:val="24"/>
                <w:szCs w:val="24"/>
                <w:lang w:val="uk-UA"/>
              </w:rPr>
              <w:t>Кластер</w:t>
            </w:r>
          </w:p>
        </w:tc>
        <w:tc>
          <w:tcPr>
            <w:tcW w:w="2005" w:type="dxa"/>
          </w:tcPr>
          <w:p w:rsidR="00161703" w:rsidRPr="006C63C4" w:rsidRDefault="00161703" w:rsidP="0050487F">
            <w:pPr>
              <w:spacing w:line="240" w:lineRule="auto"/>
              <w:ind w:firstLine="0"/>
              <w:jc w:val="center"/>
              <w:rPr>
                <w:rFonts w:ascii="Times New Roman" w:hAnsi="Times New Roman"/>
                <w:sz w:val="24"/>
                <w:szCs w:val="24"/>
                <w:lang w:val="uk-UA"/>
              </w:rPr>
            </w:pPr>
            <w:r w:rsidRPr="006C63C4">
              <w:rPr>
                <w:rFonts w:ascii="Times New Roman" w:hAnsi="Times New Roman"/>
                <w:sz w:val="24"/>
                <w:szCs w:val="24"/>
                <w:lang w:val="uk-UA"/>
              </w:rPr>
              <w:t>Модель розвитку</w:t>
            </w:r>
          </w:p>
        </w:tc>
        <w:tc>
          <w:tcPr>
            <w:tcW w:w="1703" w:type="dxa"/>
          </w:tcPr>
          <w:p w:rsidR="00161703" w:rsidRPr="006C63C4" w:rsidRDefault="00161703" w:rsidP="0050487F">
            <w:pPr>
              <w:spacing w:line="240" w:lineRule="auto"/>
              <w:ind w:firstLine="0"/>
              <w:jc w:val="center"/>
              <w:rPr>
                <w:rFonts w:ascii="Times New Roman" w:hAnsi="Times New Roman"/>
                <w:sz w:val="24"/>
                <w:szCs w:val="24"/>
                <w:lang w:val="uk-UA"/>
              </w:rPr>
            </w:pPr>
            <w:r w:rsidRPr="006C63C4">
              <w:rPr>
                <w:rFonts w:ascii="Times New Roman" w:hAnsi="Times New Roman"/>
                <w:sz w:val="24"/>
                <w:szCs w:val="24"/>
                <w:lang w:val="uk-UA"/>
              </w:rPr>
              <w:t>Масштабність</w:t>
            </w:r>
          </w:p>
        </w:tc>
        <w:tc>
          <w:tcPr>
            <w:tcW w:w="1827" w:type="dxa"/>
          </w:tcPr>
          <w:p w:rsidR="00161703" w:rsidRPr="006C63C4" w:rsidRDefault="00161703" w:rsidP="0050487F">
            <w:pPr>
              <w:spacing w:line="240" w:lineRule="auto"/>
              <w:ind w:firstLine="0"/>
              <w:jc w:val="center"/>
              <w:rPr>
                <w:rFonts w:ascii="Times New Roman" w:hAnsi="Times New Roman"/>
                <w:sz w:val="24"/>
                <w:szCs w:val="24"/>
                <w:lang w:val="uk-UA"/>
              </w:rPr>
            </w:pPr>
            <w:r w:rsidRPr="006C63C4">
              <w:rPr>
                <w:rFonts w:ascii="Times New Roman" w:hAnsi="Times New Roman"/>
                <w:sz w:val="24"/>
                <w:szCs w:val="24"/>
                <w:lang w:val="uk-UA"/>
              </w:rPr>
              <w:t>Спрямованість за ринками збуту</w:t>
            </w:r>
          </w:p>
        </w:tc>
        <w:tc>
          <w:tcPr>
            <w:tcW w:w="1928" w:type="dxa"/>
          </w:tcPr>
          <w:p w:rsidR="00161703" w:rsidRPr="006C63C4" w:rsidRDefault="00161703" w:rsidP="0050487F">
            <w:pPr>
              <w:spacing w:line="240" w:lineRule="auto"/>
              <w:ind w:firstLine="0"/>
              <w:jc w:val="center"/>
              <w:rPr>
                <w:rFonts w:ascii="Times New Roman" w:hAnsi="Times New Roman"/>
                <w:sz w:val="24"/>
                <w:szCs w:val="24"/>
                <w:lang w:val="uk-UA"/>
              </w:rPr>
            </w:pPr>
            <w:r w:rsidRPr="006C63C4">
              <w:rPr>
                <w:rFonts w:ascii="Times New Roman" w:hAnsi="Times New Roman"/>
                <w:sz w:val="24"/>
                <w:szCs w:val="24"/>
                <w:lang w:val="uk-UA"/>
              </w:rPr>
              <w:t>Модель побудови та функціонування</w:t>
            </w:r>
          </w:p>
        </w:tc>
      </w:tr>
      <w:tr w:rsidR="00161703" w:rsidRPr="001F5D7B" w:rsidTr="0050487F">
        <w:tc>
          <w:tcPr>
            <w:tcW w:w="210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Енергетичного машинобудування</w:t>
            </w:r>
          </w:p>
        </w:tc>
        <w:tc>
          <w:tcPr>
            <w:tcW w:w="2005"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Підтримуючого</w:t>
            </w:r>
          </w:p>
        </w:tc>
        <w:tc>
          <w:tcPr>
            <w:tcW w:w="1703"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Національний</w:t>
            </w:r>
          </w:p>
        </w:tc>
        <w:tc>
          <w:tcPr>
            <w:tcW w:w="1827"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 зовнішній та внутрішній ринки</w:t>
            </w:r>
          </w:p>
        </w:tc>
        <w:tc>
          <w:tcPr>
            <w:tcW w:w="192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Японська</w:t>
            </w:r>
          </w:p>
        </w:tc>
      </w:tr>
      <w:tr w:rsidR="00161703" w:rsidRPr="001F5D7B" w:rsidTr="0050487F">
        <w:tc>
          <w:tcPr>
            <w:tcW w:w="210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Фармацевтичної промисловості</w:t>
            </w:r>
          </w:p>
        </w:tc>
        <w:tc>
          <w:tcPr>
            <w:tcW w:w="2005" w:type="dxa"/>
          </w:tcPr>
          <w:p w:rsidR="00161703" w:rsidRPr="006C63C4" w:rsidRDefault="00161703" w:rsidP="0050487F">
            <w:pPr>
              <w:spacing w:line="240" w:lineRule="auto"/>
              <w:ind w:firstLine="0"/>
              <w:jc w:val="left"/>
              <w:rPr>
                <w:rFonts w:ascii="Times New Roman" w:hAnsi="Times New Roman"/>
                <w:sz w:val="24"/>
                <w:szCs w:val="24"/>
                <w:lang w:val="uk-UA"/>
              </w:rPr>
            </w:pPr>
            <w:proofErr w:type="spellStart"/>
            <w:r w:rsidRPr="006C63C4">
              <w:rPr>
                <w:rFonts w:ascii="Times New Roman" w:hAnsi="Times New Roman"/>
                <w:sz w:val="24"/>
                <w:szCs w:val="24"/>
                <w:lang w:val="uk-UA"/>
              </w:rPr>
              <w:t>Наздогоняючого</w:t>
            </w:r>
            <w:proofErr w:type="spellEnd"/>
            <w:r w:rsidRPr="006C63C4">
              <w:rPr>
                <w:rFonts w:ascii="Times New Roman" w:hAnsi="Times New Roman"/>
                <w:sz w:val="24"/>
                <w:szCs w:val="24"/>
                <w:lang w:val="uk-UA"/>
              </w:rPr>
              <w:t xml:space="preserve"> </w:t>
            </w:r>
          </w:p>
        </w:tc>
        <w:tc>
          <w:tcPr>
            <w:tcW w:w="1703"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Регіональний</w:t>
            </w:r>
          </w:p>
        </w:tc>
        <w:tc>
          <w:tcPr>
            <w:tcW w:w="1827"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 внутрішній ринок</w:t>
            </w:r>
          </w:p>
        </w:tc>
        <w:tc>
          <w:tcPr>
            <w:tcW w:w="192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Індійсько-китайська</w:t>
            </w:r>
          </w:p>
        </w:tc>
      </w:tr>
    </w:tbl>
    <w:p w:rsidR="00161703" w:rsidRPr="004D3C09" w:rsidRDefault="00161703" w:rsidP="00161703">
      <w:pPr>
        <w:rPr>
          <w:rFonts w:ascii="Times New Roman" w:hAnsi="Times New Roman"/>
          <w:sz w:val="26"/>
          <w:szCs w:val="26"/>
          <w:lang w:val="uk-UA"/>
        </w:rPr>
      </w:pPr>
      <w:r w:rsidRPr="004D3C09">
        <w:rPr>
          <w:rFonts w:ascii="Times New Roman" w:hAnsi="Times New Roman"/>
          <w:sz w:val="26"/>
          <w:szCs w:val="26"/>
          <w:lang w:val="uk-UA"/>
        </w:rPr>
        <w:lastRenderedPageBreak/>
        <w:t>Продовження таблиці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005"/>
        <w:gridCol w:w="1703"/>
        <w:gridCol w:w="1827"/>
        <w:gridCol w:w="1928"/>
      </w:tblGrid>
      <w:tr w:rsidR="00161703" w:rsidRPr="001F5D7B" w:rsidTr="0050487F">
        <w:tc>
          <w:tcPr>
            <w:tcW w:w="210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Авіаційної промисловості</w:t>
            </w:r>
          </w:p>
        </w:tc>
        <w:tc>
          <w:tcPr>
            <w:tcW w:w="2005"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Підтримуючого</w:t>
            </w:r>
          </w:p>
        </w:tc>
        <w:tc>
          <w:tcPr>
            <w:tcW w:w="1703"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Національний</w:t>
            </w:r>
          </w:p>
        </w:tc>
        <w:tc>
          <w:tcPr>
            <w:tcW w:w="1827"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 зовнішній та внутрішній ринки</w:t>
            </w:r>
          </w:p>
        </w:tc>
        <w:tc>
          <w:tcPr>
            <w:tcW w:w="192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Японська</w:t>
            </w:r>
          </w:p>
        </w:tc>
      </w:tr>
      <w:tr w:rsidR="00161703" w:rsidRPr="001F5D7B" w:rsidTr="0050487F">
        <w:tc>
          <w:tcPr>
            <w:tcW w:w="2108" w:type="dxa"/>
          </w:tcPr>
          <w:p w:rsidR="00161703" w:rsidRPr="006C63C4" w:rsidRDefault="00161703" w:rsidP="0050487F">
            <w:pPr>
              <w:spacing w:line="240" w:lineRule="auto"/>
              <w:ind w:firstLine="0"/>
              <w:jc w:val="left"/>
              <w:rPr>
                <w:rFonts w:ascii="Times New Roman" w:hAnsi="Times New Roman"/>
                <w:sz w:val="24"/>
                <w:szCs w:val="24"/>
                <w:lang w:val="uk-UA"/>
              </w:rPr>
            </w:pPr>
            <w:proofErr w:type="spellStart"/>
            <w:r w:rsidRPr="006C63C4">
              <w:rPr>
                <w:rFonts w:ascii="Times New Roman" w:hAnsi="Times New Roman"/>
                <w:sz w:val="24"/>
                <w:szCs w:val="24"/>
                <w:lang w:val="uk-UA"/>
              </w:rPr>
              <w:t>Нано-</w:t>
            </w:r>
            <w:proofErr w:type="spellEnd"/>
            <w:r w:rsidRPr="006C63C4">
              <w:rPr>
                <w:rFonts w:ascii="Times New Roman" w:hAnsi="Times New Roman"/>
                <w:sz w:val="24"/>
                <w:szCs w:val="24"/>
                <w:lang w:val="uk-UA"/>
              </w:rPr>
              <w:t xml:space="preserve"> та біотехнологій</w:t>
            </w:r>
          </w:p>
        </w:tc>
        <w:tc>
          <w:tcPr>
            <w:tcW w:w="2005"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Випереджаючого</w:t>
            </w:r>
          </w:p>
        </w:tc>
        <w:tc>
          <w:tcPr>
            <w:tcW w:w="1703"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Національний</w:t>
            </w:r>
          </w:p>
        </w:tc>
        <w:tc>
          <w:tcPr>
            <w:tcW w:w="1827"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 зовнішній та внутрішній ринки</w:t>
            </w:r>
          </w:p>
        </w:tc>
        <w:tc>
          <w:tcPr>
            <w:tcW w:w="192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Італійська</w:t>
            </w:r>
          </w:p>
        </w:tc>
      </w:tr>
      <w:tr w:rsidR="00161703" w:rsidRPr="001F5D7B" w:rsidTr="0050487F">
        <w:tc>
          <w:tcPr>
            <w:tcW w:w="210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Скляної та оптичної промисловості</w:t>
            </w:r>
          </w:p>
        </w:tc>
        <w:tc>
          <w:tcPr>
            <w:tcW w:w="2005" w:type="dxa"/>
          </w:tcPr>
          <w:p w:rsidR="00161703" w:rsidRPr="006C63C4" w:rsidRDefault="00161703" w:rsidP="0050487F">
            <w:pPr>
              <w:spacing w:line="240" w:lineRule="auto"/>
              <w:ind w:firstLine="0"/>
              <w:jc w:val="left"/>
              <w:rPr>
                <w:rFonts w:ascii="Times New Roman" w:hAnsi="Times New Roman"/>
                <w:sz w:val="24"/>
                <w:szCs w:val="24"/>
                <w:lang w:val="uk-UA"/>
              </w:rPr>
            </w:pPr>
            <w:proofErr w:type="spellStart"/>
            <w:r w:rsidRPr="006C63C4">
              <w:rPr>
                <w:rFonts w:ascii="Times New Roman" w:hAnsi="Times New Roman"/>
                <w:sz w:val="24"/>
                <w:szCs w:val="24"/>
                <w:lang w:val="uk-UA"/>
              </w:rPr>
              <w:t>Наздогоняючого</w:t>
            </w:r>
            <w:proofErr w:type="spellEnd"/>
          </w:p>
        </w:tc>
        <w:tc>
          <w:tcPr>
            <w:tcW w:w="1703"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Національний</w:t>
            </w:r>
          </w:p>
        </w:tc>
        <w:tc>
          <w:tcPr>
            <w:tcW w:w="1827"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На внутрішній ринок</w:t>
            </w:r>
          </w:p>
        </w:tc>
        <w:tc>
          <w:tcPr>
            <w:tcW w:w="1928" w:type="dxa"/>
          </w:tcPr>
          <w:p w:rsidR="00161703" w:rsidRPr="006C63C4" w:rsidRDefault="00161703" w:rsidP="0050487F">
            <w:pPr>
              <w:spacing w:line="240" w:lineRule="auto"/>
              <w:ind w:firstLine="0"/>
              <w:jc w:val="left"/>
              <w:rPr>
                <w:rFonts w:ascii="Times New Roman" w:hAnsi="Times New Roman"/>
                <w:sz w:val="24"/>
                <w:szCs w:val="24"/>
                <w:lang w:val="uk-UA"/>
              </w:rPr>
            </w:pPr>
            <w:r w:rsidRPr="006C63C4">
              <w:rPr>
                <w:rFonts w:ascii="Times New Roman" w:hAnsi="Times New Roman"/>
                <w:sz w:val="24"/>
                <w:szCs w:val="24"/>
                <w:lang w:val="uk-UA"/>
              </w:rPr>
              <w:t>Індійсько-китайська</w:t>
            </w:r>
          </w:p>
        </w:tc>
      </w:tr>
    </w:tbl>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Харківська область змогла зберегти, як свій науково-технічний рівень, так і рівень підготовки науково-технічних кадрів, що є її важливою регіональною особливістю.</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Зберігши високий рівень наукових розробок, наукові інститути і ВНЗ Харківської області здатні забезпечити створення і реалізацію проривних технологій економіки знань, але для цього необхідне створення ефективної системи комерціалізації результатів інтелектуальної діяльності – системи трансферу технологій у виробництво і бізнес.</w:t>
      </w:r>
    </w:p>
    <w:p w:rsidR="00161703" w:rsidRPr="009B719C"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У всьому світі таке  завдання вирішується за допомогою спеціальної інфраструктури: бізнес - інкубаторів для вирощування у ВНЗ Start-</w:t>
      </w:r>
      <w:proofErr w:type="spellStart"/>
      <w:r w:rsidRPr="009B719C">
        <w:rPr>
          <w:rFonts w:ascii="Times New Roman" w:hAnsi="Times New Roman"/>
          <w:sz w:val="26"/>
          <w:szCs w:val="26"/>
          <w:lang w:val="uk-UA"/>
        </w:rPr>
        <w:t>up</w:t>
      </w:r>
      <w:proofErr w:type="spellEnd"/>
      <w:r w:rsidRPr="009B719C">
        <w:rPr>
          <w:rFonts w:ascii="Times New Roman" w:hAnsi="Times New Roman"/>
          <w:sz w:val="26"/>
          <w:szCs w:val="26"/>
          <w:lang w:val="uk-UA"/>
        </w:rPr>
        <w:t xml:space="preserve"> – компаній, що засновані початкуючими бізнесменами;  технопарків для розвитку Spin-</w:t>
      </w:r>
      <w:proofErr w:type="spellStart"/>
      <w:r w:rsidRPr="009B719C">
        <w:rPr>
          <w:rFonts w:ascii="Times New Roman" w:hAnsi="Times New Roman"/>
          <w:sz w:val="26"/>
          <w:szCs w:val="26"/>
          <w:lang w:val="uk-UA"/>
        </w:rPr>
        <w:t>out</w:t>
      </w:r>
      <w:proofErr w:type="spellEnd"/>
      <w:r w:rsidRPr="009B719C">
        <w:rPr>
          <w:rFonts w:ascii="Times New Roman" w:hAnsi="Times New Roman"/>
          <w:sz w:val="26"/>
          <w:szCs w:val="26"/>
          <w:lang w:val="uk-UA"/>
        </w:rPr>
        <w:t xml:space="preserve"> – компаній, що виділяються з НДІ для комерційного використання результатів наукових розробок; систем податкових пільг і інших преференцій на територіях пріоритетного інноваційного розвитку – в технопарках, технополісах і </w:t>
      </w:r>
      <w:proofErr w:type="spellStart"/>
      <w:r w:rsidRPr="009B719C">
        <w:rPr>
          <w:rFonts w:ascii="Times New Roman" w:hAnsi="Times New Roman"/>
          <w:sz w:val="26"/>
          <w:szCs w:val="26"/>
          <w:lang w:val="uk-UA"/>
        </w:rPr>
        <w:t>наукоградах</w:t>
      </w:r>
      <w:proofErr w:type="spellEnd"/>
      <w:r w:rsidRPr="009B719C">
        <w:rPr>
          <w:rFonts w:ascii="Times New Roman" w:hAnsi="Times New Roman"/>
          <w:sz w:val="26"/>
          <w:szCs w:val="26"/>
          <w:lang w:val="uk-UA"/>
        </w:rPr>
        <w:t>.</w:t>
      </w:r>
    </w:p>
    <w:p w:rsidR="00161703" w:rsidRDefault="00161703" w:rsidP="00161703">
      <w:pPr>
        <w:pStyle w:val="a6"/>
        <w:ind w:left="0"/>
        <w:rPr>
          <w:rFonts w:ascii="Times New Roman" w:hAnsi="Times New Roman"/>
          <w:sz w:val="26"/>
          <w:szCs w:val="26"/>
          <w:lang w:val="uk-UA"/>
        </w:rPr>
      </w:pPr>
      <w:r w:rsidRPr="009B719C">
        <w:rPr>
          <w:rFonts w:ascii="Times New Roman" w:hAnsi="Times New Roman"/>
          <w:sz w:val="26"/>
          <w:szCs w:val="26"/>
          <w:lang w:val="uk-UA"/>
        </w:rPr>
        <w:t>Таким чином, у Харківській області існують значні передумови для реалізації пілотного проекту з формування ринкових механізмів і відповідної інноваційної інфраструктури, здатних перетворити науково-технічний потенціал регіону в основний ресурс суспільного виробництва і забезпечити випереджаючі темпи економічного розвитку в епоху економіки знань – реалізації проекту Технополіс П’ятихатки.</w:t>
      </w:r>
    </w:p>
    <w:p w:rsidR="003B42F3" w:rsidRDefault="003B42F3"/>
    <w:sectPr w:rsidR="003B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51473"/>
    <w:multiLevelType w:val="hybridMultilevel"/>
    <w:tmpl w:val="32C0485A"/>
    <w:lvl w:ilvl="0" w:tplc="19CC1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29"/>
    <w:rsid w:val="00161703"/>
    <w:rsid w:val="003B42F3"/>
    <w:rsid w:val="00D9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03"/>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61703"/>
    <w:rPr>
      <w:rFonts w:cs="Times New Roman"/>
      <w:b/>
    </w:rPr>
  </w:style>
  <w:style w:type="paragraph" w:styleId="a4">
    <w:name w:val="Normal (Web)"/>
    <w:basedOn w:val="a"/>
    <w:uiPriority w:val="99"/>
    <w:rsid w:val="00161703"/>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a5">
    <w:name w:val="Îáû÷íûé"/>
    <w:uiPriority w:val="99"/>
    <w:rsid w:val="0016170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99"/>
    <w:qFormat/>
    <w:rsid w:val="00161703"/>
    <w:pPr>
      <w:ind w:left="720"/>
      <w:contextualSpacing/>
    </w:pPr>
  </w:style>
  <w:style w:type="paragraph" w:styleId="a7">
    <w:name w:val="Balloon Text"/>
    <w:basedOn w:val="a"/>
    <w:link w:val="a8"/>
    <w:uiPriority w:val="99"/>
    <w:semiHidden/>
    <w:unhideWhenUsed/>
    <w:rsid w:val="0016170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17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03"/>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61703"/>
    <w:rPr>
      <w:rFonts w:cs="Times New Roman"/>
      <w:b/>
    </w:rPr>
  </w:style>
  <w:style w:type="paragraph" w:styleId="a4">
    <w:name w:val="Normal (Web)"/>
    <w:basedOn w:val="a"/>
    <w:uiPriority w:val="99"/>
    <w:rsid w:val="00161703"/>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a5">
    <w:name w:val="Îáû÷íûé"/>
    <w:uiPriority w:val="99"/>
    <w:rsid w:val="0016170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99"/>
    <w:qFormat/>
    <w:rsid w:val="00161703"/>
    <w:pPr>
      <w:ind w:left="720"/>
      <w:contextualSpacing/>
    </w:pPr>
  </w:style>
  <w:style w:type="paragraph" w:styleId="a7">
    <w:name w:val="Balloon Text"/>
    <w:basedOn w:val="a"/>
    <w:link w:val="a8"/>
    <w:uiPriority w:val="99"/>
    <w:semiHidden/>
    <w:unhideWhenUsed/>
    <w:rsid w:val="0016170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17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42;&#1080;&#1082;&#1090;&#1086;&#1088;&#1080;&#1103;\&#1050;&#1053;&#1048;&#1043;&#1040;%20&#1048;&#1053;&#1042;&#1045;&#1057;&#1058;&#1054;&#1056;&#1040;\&#1050;&#1085;&#1080;&#1075;&#1072;1_20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42;&#1080;&#1082;&#1090;&#1086;&#1088;&#1080;&#1103;\!&#1058;&#1045;&#1061;&#1053;&#1054;&#1055;&#1054;&#1051;&#1048;&#1057;_&#1055;&#1071;&#1058;&#1048;&#1061;&#1040;&#1058;&#1050;&#1048;\&#1073;&#1102;&#1076;&#1078;&#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6"/>
  <c:chart>
    <c:autoTitleDeleted val="1"/>
    <c:plotArea>
      <c:layout/>
      <c:barChart>
        <c:barDir val="col"/>
        <c:grouping val="clustered"/>
        <c:varyColors val="1"/>
        <c:ser>
          <c:idx val="0"/>
          <c:order val="0"/>
          <c:invertIfNegative val="1"/>
          <c:dLbls>
            <c:showLegendKey val="1"/>
            <c:showVal val="1"/>
            <c:showCatName val="1"/>
            <c:showSerName val="1"/>
            <c:showPercent val="1"/>
            <c:showBubbleSize val="1"/>
            <c:showLeaderLines val="0"/>
          </c:dLbls>
          <c:cat>
            <c:numRef>
              <c:f>экономика!$B$38:$H$38</c:f>
              <c:numCache>
                <c:formatCode>General</c:formatCode>
                <c:ptCount val="7"/>
                <c:pt idx="0">
                  <c:v>2004</c:v>
                </c:pt>
                <c:pt idx="1">
                  <c:v>2005</c:v>
                </c:pt>
                <c:pt idx="2">
                  <c:v>2006</c:v>
                </c:pt>
                <c:pt idx="3">
                  <c:v>2007</c:v>
                </c:pt>
                <c:pt idx="4">
                  <c:v>2008</c:v>
                </c:pt>
                <c:pt idx="5">
                  <c:v>2009</c:v>
                </c:pt>
                <c:pt idx="6">
                  <c:v>2010</c:v>
                </c:pt>
              </c:numCache>
            </c:numRef>
          </c:cat>
          <c:val>
            <c:numRef>
              <c:f>экономика!$B$41:$H$41</c:f>
              <c:numCache>
                <c:formatCode>0.0%</c:formatCode>
                <c:ptCount val="7"/>
                <c:pt idx="0">
                  <c:v>5.9470376369478974E-2</c:v>
                </c:pt>
                <c:pt idx="1">
                  <c:v>5.8031224232759179E-2</c:v>
                </c:pt>
                <c:pt idx="2">
                  <c:v>5.8849257469865988E-2</c:v>
                </c:pt>
                <c:pt idx="3">
                  <c:v>6.0865981898933219E-2</c:v>
                </c:pt>
                <c:pt idx="4">
                  <c:v>6.2642924046680842E-2</c:v>
                </c:pt>
                <c:pt idx="5">
                  <c:v>6.4513409500243687E-2</c:v>
                </c:pt>
                <c:pt idx="6">
                  <c:v>6.0313014690056746E-2</c:v>
                </c:pt>
              </c:numCache>
            </c:numRef>
          </c:val>
        </c:ser>
        <c:dLbls>
          <c:showLegendKey val="0"/>
          <c:showVal val="0"/>
          <c:showCatName val="0"/>
          <c:showSerName val="0"/>
          <c:showPercent val="0"/>
          <c:showBubbleSize val="0"/>
        </c:dLbls>
        <c:gapWidth val="150"/>
        <c:axId val="101511552"/>
        <c:axId val="101513088"/>
      </c:barChart>
      <c:catAx>
        <c:axId val="101511552"/>
        <c:scaling>
          <c:orientation val="minMax"/>
        </c:scaling>
        <c:delete val="1"/>
        <c:axPos val="b"/>
        <c:numFmt formatCode="General" sourceLinked="1"/>
        <c:majorTickMark val="cross"/>
        <c:minorTickMark val="cross"/>
        <c:tickLblPos val="nextTo"/>
        <c:crossAx val="101513088"/>
        <c:crosses val="autoZero"/>
        <c:auto val="1"/>
        <c:lblAlgn val="ctr"/>
        <c:lblOffset val="100"/>
        <c:noMultiLvlLbl val="1"/>
      </c:catAx>
      <c:valAx>
        <c:axId val="101513088"/>
        <c:scaling>
          <c:orientation val="minMax"/>
        </c:scaling>
        <c:delete val="1"/>
        <c:axPos val="l"/>
        <c:numFmt formatCode="0.0%" sourceLinked="1"/>
        <c:majorTickMark val="cross"/>
        <c:minorTickMark val="cross"/>
        <c:tickLblPos val="nextTo"/>
        <c:crossAx val="101511552"/>
        <c:crosses val="autoZero"/>
        <c:crossBetween val="between"/>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6"/>
  <c:chart>
    <c:autoTitleDeleted val="1"/>
    <c:plotArea>
      <c:layout>
        <c:manualLayout>
          <c:layoutTarget val="inner"/>
          <c:xMode val="edge"/>
          <c:yMode val="edge"/>
          <c:x val="0.11671294182902189"/>
          <c:y val="5.5236416343479484E-2"/>
          <c:w val="0.857330515050022"/>
          <c:h val="0.66335174521095308"/>
        </c:manualLayout>
      </c:layout>
      <c:barChart>
        <c:barDir val="col"/>
        <c:grouping val="clustered"/>
        <c:varyColors val="1"/>
        <c:ser>
          <c:idx val="0"/>
          <c:order val="0"/>
          <c:tx>
            <c:v>Україна</c:v>
          </c:tx>
          <c:invertIfNegative val="1"/>
          <c:cat>
            <c:numRef>
              <c:f>экономика!$B$43:$H$43</c:f>
              <c:numCache>
                <c:formatCode>General</c:formatCode>
                <c:ptCount val="7"/>
                <c:pt idx="0">
                  <c:v>2004</c:v>
                </c:pt>
                <c:pt idx="1">
                  <c:v>2005</c:v>
                </c:pt>
                <c:pt idx="2">
                  <c:v>2006</c:v>
                </c:pt>
                <c:pt idx="3">
                  <c:v>2007</c:v>
                </c:pt>
                <c:pt idx="4">
                  <c:v>2008</c:v>
                </c:pt>
                <c:pt idx="5">
                  <c:v>2009</c:v>
                </c:pt>
                <c:pt idx="6">
                  <c:v>2010</c:v>
                </c:pt>
              </c:numCache>
            </c:numRef>
          </c:cat>
          <c:val>
            <c:numRef>
              <c:f>экономика!$B$44:$H$44</c:f>
              <c:numCache>
                <c:formatCode>General</c:formatCode>
                <c:ptCount val="7"/>
                <c:pt idx="0">
                  <c:v>7273</c:v>
                </c:pt>
                <c:pt idx="1">
                  <c:v>9372</c:v>
                </c:pt>
                <c:pt idx="2">
                  <c:v>11630</c:v>
                </c:pt>
                <c:pt idx="3">
                  <c:v>15496</c:v>
                </c:pt>
                <c:pt idx="4">
                  <c:v>20495</c:v>
                </c:pt>
                <c:pt idx="5">
                  <c:v>19832</c:v>
                </c:pt>
                <c:pt idx="6">
                  <c:v>23600</c:v>
                </c:pt>
              </c:numCache>
            </c:numRef>
          </c:val>
        </c:ser>
        <c:ser>
          <c:idx val="1"/>
          <c:order val="1"/>
          <c:tx>
            <c:v>Харківська обл.</c:v>
          </c:tx>
          <c:invertIfNegative val="1"/>
          <c:cat>
            <c:numRef>
              <c:f>экономика!$B$43:$H$43</c:f>
              <c:numCache>
                <c:formatCode>General</c:formatCode>
                <c:ptCount val="7"/>
                <c:pt idx="0">
                  <c:v>2004</c:v>
                </c:pt>
                <c:pt idx="1">
                  <c:v>2005</c:v>
                </c:pt>
                <c:pt idx="2">
                  <c:v>2006</c:v>
                </c:pt>
                <c:pt idx="3">
                  <c:v>2007</c:v>
                </c:pt>
                <c:pt idx="4">
                  <c:v>2008</c:v>
                </c:pt>
                <c:pt idx="5">
                  <c:v>2009</c:v>
                </c:pt>
                <c:pt idx="6">
                  <c:v>2010</c:v>
                </c:pt>
              </c:numCache>
            </c:numRef>
          </c:cat>
          <c:val>
            <c:numRef>
              <c:f>экономика!$B$45:$H$45</c:f>
              <c:numCache>
                <c:formatCode>General</c:formatCode>
                <c:ptCount val="7"/>
                <c:pt idx="0">
                  <c:v>7182</c:v>
                </c:pt>
                <c:pt idx="1">
                  <c:v>9025</c:v>
                </c:pt>
                <c:pt idx="2">
                  <c:v>11353</c:v>
                </c:pt>
                <c:pt idx="3">
                  <c:v>15645</c:v>
                </c:pt>
                <c:pt idx="4">
                  <c:v>21294</c:v>
                </c:pt>
                <c:pt idx="5">
                  <c:v>21228</c:v>
                </c:pt>
                <c:pt idx="6">
                  <c:v>23639</c:v>
                </c:pt>
              </c:numCache>
            </c:numRef>
          </c:val>
        </c:ser>
        <c:dLbls>
          <c:showLegendKey val="0"/>
          <c:showVal val="0"/>
          <c:showCatName val="0"/>
          <c:showSerName val="0"/>
          <c:showPercent val="0"/>
          <c:showBubbleSize val="0"/>
        </c:dLbls>
        <c:gapWidth val="150"/>
        <c:axId val="108886272"/>
        <c:axId val="110727168"/>
      </c:barChart>
      <c:catAx>
        <c:axId val="108886272"/>
        <c:scaling>
          <c:orientation val="minMax"/>
        </c:scaling>
        <c:delete val="1"/>
        <c:axPos val="b"/>
        <c:numFmt formatCode="General" sourceLinked="1"/>
        <c:majorTickMark val="cross"/>
        <c:minorTickMark val="cross"/>
        <c:tickLblPos val="nextTo"/>
        <c:crossAx val="110727168"/>
        <c:crosses val="autoZero"/>
        <c:auto val="1"/>
        <c:lblAlgn val="ctr"/>
        <c:lblOffset val="100"/>
        <c:noMultiLvlLbl val="1"/>
      </c:catAx>
      <c:valAx>
        <c:axId val="110727168"/>
        <c:scaling>
          <c:orientation val="minMax"/>
        </c:scaling>
        <c:delete val="1"/>
        <c:axPos val="l"/>
        <c:title>
          <c:tx>
            <c:rich>
              <a:bodyPr rot="0" vert="horz"/>
              <a:lstStyle/>
              <a:p>
                <a:pPr>
                  <a:defRPr/>
                </a:pPr>
                <a:r>
                  <a:rPr lang="ru-RU"/>
                  <a:t>грн.</a:t>
                </a:r>
              </a:p>
            </c:rich>
          </c:tx>
          <c:layout>
            <c:manualLayout>
              <c:xMode val="edge"/>
              <c:yMode val="edge"/>
              <c:x val="0.12066077041019707"/>
              <c:y val="1.0780350217416884E-2"/>
            </c:manualLayout>
          </c:layout>
          <c:overlay val="1"/>
        </c:title>
        <c:numFmt formatCode="General" sourceLinked="1"/>
        <c:majorTickMark val="cross"/>
        <c:minorTickMark val="cross"/>
        <c:tickLblPos val="nextTo"/>
        <c:crossAx val="108886272"/>
        <c:crosses val="autoZero"/>
        <c:crossBetween val="between"/>
      </c:valAx>
    </c:plotArea>
    <c:legend>
      <c:legendPos val="b"/>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0.2388888888888889"/>
          <c:y val="0.21312736129210214"/>
          <c:w val="0.53020975503062118"/>
          <c:h val="0.56447887040309708"/>
        </c:manualLayout>
      </c:layout>
      <c:pie3DChart>
        <c:varyColors val="1"/>
        <c:ser>
          <c:idx val="0"/>
          <c:order val="0"/>
          <c:explosion val="25"/>
          <c:dLbls>
            <c:dLbl>
              <c:idx val="2"/>
              <c:layout>
                <c:manualLayout>
                  <c:x val="0.10159404976727299"/>
                  <c:y val="-2.3016630166597708E-2"/>
                </c:manualLayout>
              </c:layout>
              <c:showLegendKey val="1"/>
              <c:showVal val="1"/>
              <c:showCatName val="1"/>
              <c:showSerName val="1"/>
              <c:showPercent val="1"/>
              <c:showBubbleSize val="1"/>
              <c:separator>
</c:separator>
            </c:dLbl>
            <c:showLegendKey val="1"/>
            <c:showVal val="1"/>
            <c:showCatName val="1"/>
            <c:showSerName val="1"/>
            <c:showPercent val="1"/>
            <c:showBubbleSize val="1"/>
            <c:separator>
</c:separator>
            <c:showLeaderLines val="1"/>
          </c:dLbls>
          <c:cat>
            <c:strRef>
              <c:f>экономика!$A$69:$A$80</c:f>
              <c:strCache>
                <c:ptCount val="12"/>
                <c:pt idx="0">
                  <c:v>Виробництво харчових продуктів, напоїв та тютюнових виробів</c:v>
                </c:pt>
                <c:pt idx="1">
                  <c:v>Добувна промисловість</c:v>
                </c:pt>
                <c:pt idx="2">
                  <c:v>Машинобудування</c:v>
                </c:pt>
                <c:pt idx="3">
                  <c:v>Оброблення деревини та виробництво виробів із деревини, крім меблів</c:v>
                </c:pt>
                <c:pt idx="4">
                  <c:v>Целюлозно-паперове виробництво, видавнича діяльність</c:v>
                </c:pt>
                <c:pt idx="5">
                  <c:v>Металургійне виробництво</c:v>
                </c:pt>
                <c:pt idx="6">
                  <c:v>Виробництво іншої неметалевої мінеральної продукції</c:v>
                </c:pt>
                <c:pt idx="7">
                  <c:v>Легка промисловість</c:v>
                </c:pt>
                <c:pt idx="8">
                  <c:v>Виробництво та розподілення електроенергії, газу та води</c:v>
                </c:pt>
                <c:pt idx="9">
                  <c:v>Хімічна та нафтохімічна промисловість</c:v>
                </c:pt>
                <c:pt idx="10">
                  <c:v>Виробництво коксу та продуктів нафтопереробки</c:v>
                </c:pt>
                <c:pt idx="11">
                  <c:v>Інше виробництво</c:v>
                </c:pt>
              </c:strCache>
            </c:strRef>
          </c:cat>
          <c:val>
            <c:numRef>
              <c:f>экономика!$B$69:$B$80</c:f>
              <c:numCache>
                <c:formatCode>0.0%</c:formatCode>
                <c:ptCount val="12"/>
                <c:pt idx="0">
                  <c:v>0.253</c:v>
                </c:pt>
                <c:pt idx="1">
                  <c:v>0.05</c:v>
                </c:pt>
                <c:pt idx="2">
                  <c:v>0.19900000000000001</c:v>
                </c:pt>
                <c:pt idx="3">
                  <c:v>7.0000000000000027E-3</c:v>
                </c:pt>
                <c:pt idx="4">
                  <c:v>3.2000000000000021E-2</c:v>
                </c:pt>
                <c:pt idx="5">
                  <c:v>3.2000000000000021E-2</c:v>
                </c:pt>
                <c:pt idx="6">
                  <c:v>5.8000000000000003E-2</c:v>
                </c:pt>
                <c:pt idx="7">
                  <c:v>1.0000000000000005E-2</c:v>
                </c:pt>
                <c:pt idx="8">
                  <c:v>0.21500000000000008</c:v>
                </c:pt>
                <c:pt idx="9">
                  <c:v>5.3999999999999999E-2</c:v>
                </c:pt>
                <c:pt idx="10">
                  <c:v>6.4000000000000043E-2</c:v>
                </c:pt>
                <c:pt idx="11">
                  <c:v>2.6000000000000002E-2</c:v>
                </c:pt>
              </c:numCache>
            </c:numRef>
          </c:val>
        </c:ser>
        <c:dLbls>
          <c:showLegendKey val="0"/>
          <c:showVal val="0"/>
          <c:showCatName val="0"/>
          <c:showSerName val="0"/>
          <c:showPercent val="0"/>
          <c:showBubbleSize val="0"/>
          <c:showLeaderLines val="1"/>
        </c:dLbls>
      </c:pie3DChart>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6"/>
  <c:chart>
    <c:autoTitleDeleted val="1"/>
    <c:plotArea>
      <c:layout>
        <c:manualLayout>
          <c:layoutTarget val="inner"/>
          <c:xMode val="edge"/>
          <c:yMode val="edge"/>
          <c:x val="0.11359951881014864"/>
          <c:y val="5.1400554097404488E-2"/>
          <c:w val="0.85584492563429648"/>
          <c:h val="0.79822506561679785"/>
        </c:manualLayout>
      </c:layout>
      <c:barChart>
        <c:barDir val="col"/>
        <c:grouping val="clustered"/>
        <c:varyColors val="1"/>
        <c:ser>
          <c:idx val="0"/>
          <c:order val="0"/>
          <c:invertIfNegative val="1"/>
          <c:dLbls>
            <c:showLegendKey val="1"/>
            <c:showVal val="1"/>
            <c:showCatName val="1"/>
            <c:showSerName val="1"/>
            <c:showPercent val="1"/>
            <c:showBubbleSize val="1"/>
            <c:showLeaderLines val="0"/>
          </c:dLbls>
          <c:cat>
            <c:numRef>
              <c:f>инвестиции!$A$69:$A$76</c:f>
              <c:numCache>
                <c:formatCode>General</c:formatCode>
                <c:ptCount val="8"/>
                <c:pt idx="0">
                  <c:v>2005</c:v>
                </c:pt>
                <c:pt idx="1">
                  <c:v>2006</c:v>
                </c:pt>
                <c:pt idx="2">
                  <c:v>2007</c:v>
                </c:pt>
                <c:pt idx="3">
                  <c:v>2008</c:v>
                </c:pt>
                <c:pt idx="4">
                  <c:v>2009</c:v>
                </c:pt>
                <c:pt idx="5">
                  <c:v>2010</c:v>
                </c:pt>
                <c:pt idx="6">
                  <c:v>2011</c:v>
                </c:pt>
                <c:pt idx="7">
                  <c:v>2012</c:v>
                </c:pt>
              </c:numCache>
            </c:numRef>
          </c:cat>
          <c:val>
            <c:numRef>
              <c:f>инвестиции!$B$69:$B$76</c:f>
              <c:numCache>
                <c:formatCode>General</c:formatCode>
                <c:ptCount val="8"/>
                <c:pt idx="0">
                  <c:v>387.7</c:v>
                </c:pt>
                <c:pt idx="1">
                  <c:v>485.7</c:v>
                </c:pt>
                <c:pt idx="2">
                  <c:v>983.7</c:v>
                </c:pt>
                <c:pt idx="3">
                  <c:v>1278.8</c:v>
                </c:pt>
                <c:pt idx="4">
                  <c:v>1609.9</c:v>
                </c:pt>
                <c:pt idx="5">
                  <c:v>2082.6999999999998</c:v>
                </c:pt>
                <c:pt idx="6">
                  <c:v>2716.9</c:v>
                </c:pt>
                <c:pt idx="7">
                  <c:v>2745.7</c:v>
                </c:pt>
              </c:numCache>
            </c:numRef>
          </c:val>
        </c:ser>
        <c:dLbls>
          <c:showLegendKey val="0"/>
          <c:showVal val="0"/>
          <c:showCatName val="0"/>
          <c:showSerName val="0"/>
          <c:showPercent val="0"/>
          <c:showBubbleSize val="0"/>
        </c:dLbls>
        <c:gapWidth val="150"/>
        <c:axId val="101698176"/>
        <c:axId val="101708160"/>
      </c:barChart>
      <c:catAx>
        <c:axId val="101698176"/>
        <c:scaling>
          <c:orientation val="minMax"/>
        </c:scaling>
        <c:delete val="1"/>
        <c:axPos val="b"/>
        <c:numFmt formatCode="General" sourceLinked="1"/>
        <c:majorTickMark val="cross"/>
        <c:minorTickMark val="cross"/>
        <c:tickLblPos val="nextTo"/>
        <c:crossAx val="101708160"/>
        <c:crosses val="autoZero"/>
        <c:auto val="1"/>
        <c:lblAlgn val="ctr"/>
        <c:lblOffset val="100"/>
        <c:noMultiLvlLbl val="1"/>
      </c:catAx>
      <c:valAx>
        <c:axId val="101708160"/>
        <c:scaling>
          <c:orientation val="minMax"/>
        </c:scaling>
        <c:delete val="1"/>
        <c:axPos val="l"/>
        <c:title>
          <c:tx>
            <c:rich>
              <a:bodyPr rot="0" vert="horz"/>
              <a:lstStyle/>
              <a:p>
                <a:pPr>
                  <a:defRPr/>
                </a:pPr>
                <a:r>
                  <a:rPr lang="en-US"/>
                  <a:t>USD </a:t>
                </a:r>
                <a:r>
                  <a:rPr lang="ru-RU"/>
                  <a:t>млн.</a:t>
                </a:r>
              </a:p>
            </c:rich>
          </c:tx>
          <c:layout>
            <c:manualLayout>
              <c:xMode val="edge"/>
              <c:yMode val="edge"/>
              <c:x val="0.125"/>
              <c:y val="1.2538276465441806E-2"/>
            </c:manualLayout>
          </c:layout>
          <c:overlay val="1"/>
        </c:title>
        <c:numFmt formatCode="General" sourceLinked="1"/>
        <c:majorTickMark val="cross"/>
        <c:minorTickMark val="cross"/>
        <c:tickLblPos val="nextTo"/>
        <c:crossAx val="101698176"/>
        <c:crosses val="autoZero"/>
        <c:crossBetween val="between"/>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0.2388888888888889"/>
          <c:y val="0.18981481481481491"/>
          <c:w val="0.51354308836395446"/>
          <c:h val="0.54166666666666652"/>
        </c:manualLayout>
      </c:layout>
      <c:pie3DChart>
        <c:varyColors val="1"/>
        <c:ser>
          <c:idx val="0"/>
          <c:order val="0"/>
          <c:explosion val="25"/>
          <c:dLbls>
            <c:dLbl>
              <c:idx val="0"/>
              <c:layout>
                <c:manualLayout>
                  <c:x val="6.9810483969877726E-2"/>
                  <c:y val="-5.5934861177496581E-3"/>
                </c:manualLayout>
              </c:layout>
              <c:showLegendKey val="1"/>
              <c:showVal val="1"/>
              <c:showCatName val="1"/>
              <c:showSerName val="1"/>
              <c:showPercent val="1"/>
              <c:showBubbleSize val="1"/>
              <c:separator>
</c:separator>
            </c:dLbl>
            <c:showLegendKey val="1"/>
            <c:showVal val="1"/>
            <c:showCatName val="1"/>
            <c:showSerName val="1"/>
            <c:showPercent val="1"/>
            <c:showBubbleSize val="1"/>
            <c:separator>
</c:separator>
            <c:showLeaderLines val="1"/>
          </c:dLbls>
          <c:cat>
            <c:strRef>
              <c:f>кадры!$A$71:$A$81</c:f>
              <c:strCache>
                <c:ptCount val="11"/>
                <c:pt idx="0">
                  <c:v>сільське господарство</c:v>
                </c:pt>
                <c:pt idx="1">
                  <c:v>промисловість</c:v>
                </c:pt>
                <c:pt idx="2">
                  <c:v>будівництво</c:v>
                </c:pt>
                <c:pt idx="3">
                  <c:v>торгівля, ремонт,  готелі та ресторани</c:v>
                </c:pt>
                <c:pt idx="4">
                  <c:v>транспорт і зв'язок</c:v>
                </c:pt>
                <c:pt idx="5">
                  <c:v>фінанси</c:v>
                </c:pt>
                <c:pt idx="6">
                  <c:v>нерухомість, інжинирінг, послуги підприємцям</c:v>
                </c:pt>
                <c:pt idx="7">
                  <c:v>держуправління</c:v>
                </c:pt>
                <c:pt idx="8">
                  <c:v>освіта</c:v>
                </c:pt>
                <c:pt idx="9">
                  <c:v>охорона здоров'я </c:v>
                </c:pt>
                <c:pt idx="10">
                  <c:v>інше</c:v>
                </c:pt>
              </c:strCache>
            </c:strRef>
          </c:cat>
          <c:val>
            <c:numRef>
              <c:f>кадры!$B$71:$B$81</c:f>
              <c:numCache>
                <c:formatCode>0.0%</c:formatCode>
                <c:ptCount val="11"/>
                <c:pt idx="0">
                  <c:v>9.9000000000000046E-2</c:v>
                </c:pt>
                <c:pt idx="1">
                  <c:v>0.19</c:v>
                </c:pt>
                <c:pt idx="2">
                  <c:v>4.5000000000000012E-2</c:v>
                </c:pt>
                <c:pt idx="3">
                  <c:v>0.27700000000000002</c:v>
                </c:pt>
                <c:pt idx="4">
                  <c:v>6.6000000000000003E-2</c:v>
                </c:pt>
                <c:pt idx="5">
                  <c:v>1.4999999999999998E-2</c:v>
                </c:pt>
                <c:pt idx="6">
                  <c:v>7.6999999999999999E-2</c:v>
                </c:pt>
                <c:pt idx="7">
                  <c:v>4.900000000000003E-2</c:v>
                </c:pt>
                <c:pt idx="8">
                  <c:v>8.6000000000000021E-2</c:v>
                </c:pt>
                <c:pt idx="9">
                  <c:v>6.1000000000000013E-2</c:v>
                </c:pt>
                <c:pt idx="10">
                  <c:v>3.500000000000001E-2</c:v>
                </c:pt>
              </c:numCache>
            </c:numRef>
          </c:val>
        </c:ser>
        <c:dLbls>
          <c:showLegendKey val="0"/>
          <c:showVal val="0"/>
          <c:showCatName val="0"/>
          <c:showSerName val="0"/>
          <c:showPercent val="0"/>
          <c:showBubbleSize val="0"/>
          <c:showLeaderLines val="1"/>
        </c:dLbls>
      </c:pie3DChart>
    </c:plotArea>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0.17222222222222239"/>
          <c:y val="0.23148148148148184"/>
          <c:w val="0.56651531058617743"/>
          <c:h val="0.59259259259259267"/>
        </c:manualLayout>
      </c:layout>
      <c:pie3DChart>
        <c:varyColors val="1"/>
        <c:ser>
          <c:idx val="0"/>
          <c:order val="0"/>
          <c:explosion val="25"/>
          <c:dLbls>
            <c:showLegendKey val="1"/>
            <c:showVal val="1"/>
            <c:showCatName val="1"/>
            <c:showSerName val="1"/>
            <c:showPercent val="1"/>
            <c:showBubbleSize val="1"/>
            <c:separator>
</c:separator>
            <c:showLeaderLines val="1"/>
          </c:dLbls>
          <c:cat>
            <c:strRef>
              <c:f>кадры!$A$85:$A$87</c:f>
              <c:strCache>
                <c:ptCount val="3"/>
                <c:pt idx="0">
                  <c:v>Виробництво та розподілення електроенергії, газу та води</c:v>
                </c:pt>
                <c:pt idx="1">
                  <c:v>видобувна промисловість</c:v>
                </c:pt>
                <c:pt idx="2">
                  <c:v>переробна промисловість</c:v>
                </c:pt>
              </c:strCache>
            </c:strRef>
          </c:cat>
          <c:val>
            <c:numRef>
              <c:f>кадры!$B$85:$B$87</c:f>
              <c:numCache>
                <c:formatCode>0.0%</c:formatCode>
                <c:ptCount val="3"/>
                <c:pt idx="0">
                  <c:v>0.20800000000000007</c:v>
                </c:pt>
                <c:pt idx="1">
                  <c:v>3.1000000000000014E-2</c:v>
                </c:pt>
                <c:pt idx="2">
                  <c:v>0.76100000000000034</c:v>
                </c:pt>
              </c:numCache>
            </c:numRef>
          </c:val>
        </c:ser>
        <c:dLbls>
          <c:showLegendKey val="0"/>
          <c:showVal val="0"/>
          <c:showCatName val="0"/>
          <c:showSerName val="0"/>
          <c:showPercent val="0"/>
          <c:showBubbleSize val="0"/>
          <c:showLeaderLines val="1"/>
        </c:dLbls>
      </c:pie3DChart>
    </c:plotArea>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0.22500000000000001"/>
          <c:y val="0.20833333333333354"/>
          <c:w val="0.59166666666666656"/>
          <c:h val="0.56481481481481544"/>
        </c:manualLayout>
      </c:layout>
      <c:pie3DChart>
        <c:varyColors val="1"/>
        <c:ser>
          <c:idx val="0"/>
          <c:order val="0"/>
          <c:explosion val="25"/>
          <c:dLbls>
            <c:dLbl>
              <c:idx val="0"/>
              <c:layout>
                <c:manualLayout>
                  <c:x val="8.7395013123359577E-3"/>
                  <c:y val="-5.7626130067074954E-3"/>
                </c:manualLayout>
              </c:layout>
              <c:showLegendKey val="1"/>
              <c:showVal val="1"/>
              <c:showCatName val="1"/>
              <c:showSerName val="1"/>
              <c:showPercent val="1"/>
              <c:showBubbleSize val="1"/>
              <c:separator>
</c:separator>
            </c:dLbl>
            <c:dLbl>
              <c:idx val="1"/>
              <c:layout>
                <c:manualLayout>
                  <c:x val="1.9009186351706047E-2"/>
                  <c:y val="1.5581802274715732E-2"/>
                </c:manualLayout>
              </c:layout>
              <c:showLegendKey val="1"/>
              <c:showVal val="1"/>
              <c:showCatName val="1"/>
              <c:showSerName val="1"/>
              <c:showPercent val="1"/>
              <c:showBubbleSize val="1"/>
              <c:separator>
</c:separator>
            </c:dLbl>
            <c:dLbl>
              <c:idx val="2"/>
              <c:layout>
                <c:manualLayout>
                  <c:x val="1.9145559930008847E-2"/>
                  <c:y val="-3.6101997666958478E-2"/>
                </c:manualLayout>
              </c:layout>
              <c:showLegendKey val="1"/>
              <c:showVal val="1"/>
              <c:showCatName val="1"/>
              <c:showSerName val="1"/>
              <c:showPercent val="1"/>
              <c:showBubbleSize val="1"/>
              <c:separator>
</c:separator>
            </c:dLbl>
            <c:dLbl>
              <c:idx val="3"/>
              <c:layout>
                <c:manualLayout>
                  <c:x val="6.634733158355206E-3"/>
                  <c:y val="-2.0914625255176435E-2"/>
                </c:manualLayout>
              </c:layout>
              <c:showLegendKey val="1"/>
              <c:showVal val="1"/>
              <c:showCatName val="1"/>
              <c:showSerName val="1"/>
              <c:showPercent val="1"/>
              <c:showBubbleSize val="1"/>
              <c:separator>
</c:separator>
            </c:dLbl>
            <c:dLbl>
              <c:idx val="4"/>
              <c:layout>
                <c:manualLayout>
                  <c:x val="4.9594706911636519E-2"/>
                  <c:y val="6.1672863808690567E-2"/>
                </c:manualLayout>
              </c:layout>
              <c:showLegendKey val="1"/>
              <c:showVal val="1"/>
              <c:showCatName val="1"/>
              <c:showSerName val="1"/>
              <c:showPercent val="1"/>
              <c:showBubbleSize val="1"/>
              <c:separator>
</c:separator>
            </c:dLbl>
            <c:dLbl>
              <c:idx val="5"/>
              <c:layout>
                <c:manualLayout>
                  <c:x val="6.6245625546806734E-3"/>
                  <c:y val="-2.4399606299212583E-2"/>
                </c:manualLayout>
              </c:layout>
              <c:showLegendKey val="1"/>
              <c:showVal val="1"/>
              <c:showCatName val="1"/>
              <c:showSerName val="1"/>
              <c:showPercent val="1"/>
              <c:showBubbleSize val="1"/>
              <c:separator>
</c:separator>
            </c:dLbl>
            <c:showLegendKey val="1"/>
            <c:showVal val="1"/>
            <c:showCatName val="1"/>
            <c:showSerName val="1"/>
            <c:showPercent val="1"/>
            <c:showBubbleSize val="1"/>
            <c:separator>
</c:separator>
            <c:showLeaderLines val="1"/>
          </c:dLbls>
          <c:cat>
            <c:strRef>
              <c:f>кадры!$A$31:$A$37</c:f>
              <c:strCache>
                <c:ptCount val="7"/>
                <c:pt idx="0">
                  <c:v>15-24 років</c:v>
                </c:pt>
                <c:pt idx="1">
                  <c:v>25-29 років</c:v>
                </c:pt>
                <c:pt idx="2">
                  <c:v>30-34 років</c:v>
                </c:pt>
                <c:pt idx="3">
                  <c:v>35-39 років</c:v>
                </c:pt>
                <c:pt idx="4">
                  <c:v>40-49 років</c:v>
                </c:pt>
                <c:pt idx="5">
                  <c:v>50-59 років</c:v>
                </c:pt>
                <c:pt idx="6">
                  <c:v>60-70 років</c:v>
                </c:pt>
              </c:strCache>
            </c:strRef>
          </c:cat>
          <c:val>
            <c:numRef>
              <c:f>кадры!$B$31:$B$37</c:f>
              <c:numCache>
                <c:formatCode>0.0%</c:formatCode>
                <c:ptCount val="7"/>
                <c:pt idx="0">
                  <c:v>0.10100000000000002</c:v>
                </c:pt>
                <c:pt idx="1">
                  <c:v>0.14000000000000001</c:v>
                </c:pt>
                <c:pt idx="2">
                  <c:v>0.13500000000000001</c:v>
                </c:pt>
                <c:pt idx="3">
                  <c:v>0.127</c:v>
                </c:pt>
                <c:pt idx="4">
                  <c:v>0.24500000000000008</c:v>
                </c:pt>
                <c:pt idx="5">
                  <c:v>0.19800000000000001</c:v>
                </c:pt>
                <c:pt idx="6">
                  <c:v>5.3999999999999999E-2</c:v>
                </c:pt>
              </c:numCache>
            </c:numRef>
          </c:val>
        </c:ser>
        <c:dLbls>
          <c:showLegendKey val="0"/>
          <c:showVal val="0"/>
          <c:showCatName val="0"/>
          <c:showSerName val="0"/>
          <c:showPercent val="0"/>
          <c:showBubbleSize val="0"/>
          <c:showLeaderLines val="1"/>
        </c:dLbls>
      </c:pie3DChart>
    </c:plotArea>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bar"/>
        <c:grouping val="clustered"/>
        <c:varyColors val="1"/>
        <c:ser>
          <c:idx val="0"/>
          <c:order val="0"/>
          <c:tx>
            <c:v>Харківська обл.</c:v>
          </c:tx>
          <c:invertIfNegative val="1"/>
          <c:dLbls>
            <c:dLbl>
              <c:idx val="2"/>
              <c:layout>
                <c:manualLayout>
                  <c:x val="6.3897752861940193E-3"/>
                  <c:y val="1.2422356198185172E-2"/>
                </c:manualLayout>
              </c:layout>
              <c:showLegendKey val="1"/>
              <c:showVal val="1"/>
              <c:showCatName val="1"/>
              <c:showSerName val="1"/>
              <c:showPercent val="1"/>
              <c:showBubbleSize val="1"/>
            </c:dLbl>
            <c:dLbl>
              <c:idx val="6"/>
              <c:layout>
                <c:manualLayout>
                  <c:x val="7.8096351322212555E-17"/>
                  <c:y val="1.2422356198185172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ІГК!$A$10:$A$21</c:f>
              <c:strCache>
                <c:ptCount val="12"/>
                <c:pt idx="0">
                  <c:v>Інституції</c:v>
                </c:pt>
                <c:pt idx="1">
                  <c:v>Інфраструктура</c:v>
                </c:pt>
                <c:pt idx="2">
                  <c:v>Макроекономічне середовище</c:v>
                </c:pt>
                <c:pt idx="3">
                  <c:v>Охорона здоров’я та початкова освіта</c:v>
                </c:pt>
                <c:pt idx="4">
                  <c:v>Вища освіта та професійна підготовка</c:v>
                </c:pt>
                <c:pt idx="5">
                  <c:v>Ефективність ринку товарів</c:v>
                </c:pt>
                <c:pt idx="6">
                  <c:v>Ефективність ринку праці</c:v>
                </c:pt>
                <c:pt idx="7">
                  <c:v>Рівень розвитку фінансового ринку</c:v>
                </c:pt>
                <c:pt idx="8">
                  <c:v>Технологічна готовність </c:v>
                </c:pt>
                <c:pt idx="9">
                  <c:v>Розмір ринку</c:v>
                </c:pt>
                <c:pt idx="10">
                  <c:v>Рівень розвитку бізнесу</c:v>
                </c:pt>
                <c:pt idx="11">
                  <c:v>Інновації</c:v>
                </c:pt>
              </c:strCache>
            </c:strRef>
          </c:cat>
          <c:val>
            <c:numRef>
              <c:f>ІГК!$C$10:$C$21</c:f>
              <c:numCache>
                <c:formatCode>0.0</c:formatCode>
                <c:ptCount val="12"/>
                <c:pt idx="0">
                  <c:v>3.7</c:v>
                </c:pt>
                <c:pt idx="1">
                  <c:v>3.8</c:v>
                </c:pt>
                <c:pt idx="2">
                  <c:v>4</c:v>
                </c:pt>
                <c:pt idx="3">
                  <c:v>5.8</c:v>
                </c:pt>
                <c:pt idx="4">
                  <c:v>4.5</c:v>
                </c:pt>
                <c:pt idx="5">
                  <c:v>3.8</c:v>
                </c:pt>
                <c:pt idx="6">
                  <c:v>4.8</c:v>
                </c:pt>
                <c:pt idx="7">
                  <c:v>3.8</c:v>
                </c:pt>
                <c:pt idx="8">
                  <c:v>3</c:v>
                </c:pt>
                <c:pt idx="9">
                  <c:v>1.9000000000000001</c:v>
                </c:pt>
                <c:pt idx="10">
                  <c:v>3.8</c:v>
                </c:pt>
                <c:pt idx="11">
                  <c:v>2.9</c:v>
                </c:pt>
              </c:numCache>
            </c:numRef>
          </c:val>
        </c:ser>
        <c:ser>
          <c:idx val="1"/>
          <c:order val="1"/>
          <c:tx>
            <c:v>Україна</c:v>
          </c:tx>
          <c:invertIfNegative val="1"/>
          <c:dLbls>
            <c:dLbl>
              <c:idx val="3"/>
              <c:layout>
                <c:manualLayout>
                  <c:x val="0"/>
                  <c:y val="-8.2815707987901003E-3"/>
                </c:manualLayout>
              </c:layout>
              <c:showLegendKey val="1"/>
              <c:showVal val="1"/>
              <c:showCatName val="1"/>
              <c:showSerName val="1"/>
              <c:showPercent val="1"/>
              <c:showBubbleSize val="1"/>
            </c:dLbl>
            <c:dLbl>
              <c:idx val="5"/>
              <c:layout>
                <c:manualLayout>
                  <c:x val="7.8096351322212555E-17"/>
                  <c:y val="-1.2422356198185172E-2"/>
                </c:manualLayout>
              </c:layout>
              <c:showLegendKey val="1"/>
              <c:showVal val="1"/>
              <c:showCatName val="1"/>
              <c:showSerName val="1"/>
              <c:showPercent val="1"/>
              <c:showBubbleSize val="1"/>
            </c:dLbl>
            <c:dLbl>
              <c:idx val="8"/>
              <c:layout>
                <c:manualLayout>
                  <c:x val="1.0649457766352602E-2"/>
                  <c:y val="-1.388891153097878E-2"/>
                </c:manualLayout>
              </c:layout>
              <c:showLegendKey val="1"/>
              <c:showVal val="1"/>
              <c:showCatName val="1"/>
              <c:showSerName val="1"/>
              <c:showPercent val="1"/>
              <c:showBubbleSize val="1"/>
            </c:dLbl>
            <c:dLbl>
              <c:idx val="10"/>
              <c:layout>
                <c:manualLayout>
                  <c:x val="1.7039400763184033E-2"/>
                  <c:y val="-1.7540953834807461E-2"/>
                </c:manualLayout>
              </c:layout>
              <c:showLegendKey val="1"/>
              <c:showVal val="1"/>
              <c:showCatName val="1"/>
              <c:showSerName val="1"/>
              <c:showPercent val="1"/>
              <c:showBubbleSize val="1"/>
            </c:dLbl>
            <c:dLbl>
              <c:idx val="11"/>
              <c:layout>
                <c:manualLayout>
                  <c:x val="1.0649625476990022E-2"/>
                  <c:y val="-9.2593830360173518E-3"/>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ІГК!$A$10:$A$21</c:f>
              <c:strCache>
                <c:ptCount val="12"/>
                <c:pt idx="0">
                  <c:v>Інституції</c:v>
                </c:pt>
                <c:pt idx="1">
                  <c:v>Інфраструктура</c:v>
                </c:pt>
                <c:pt idx="2">
                  <c:v>Макроекономічне середовище</c:v>
                </c:pt>
                <c:pt idx="3">
                  <c:v>Охорона здоров’я та початкова освіта</c:v>
                </c:pt>
                <c:pt idx="4">
                  <c:v>Вища освіта та професійна підготовка</c:v>
                </c:pt>
                <c:pt idx="5">
                  <c:v>Ефективність ринку товарів</c:v>
                </c:pt>
                <c:pt idx="6">
                  <c:v>Ефективність ринку праці</c:v>
                </c:pt>
                <c:pt idx="7">
                  <c:v>Рівень розвитку фінансового ринку</c:v>
                </c:pt>
                <c:pt idx="8">
                  <c:v>Технологічна готовність </c:v>
                </c:pt>
                <c:pt idx="9">
                  <c:v>Розмір ринку</c:v>
                </c:pt>
                <c:pt idx="10">
                  <c:v>Рівень розвитку бізнесу</c:v>
                </c:pt>
                <c:pt idx="11">
                  <c:v>Інновації</c:v>
                </c:pt>
              </c:strCache>
            </c:strRef>
          </c:cat>
          <c:val>
            <c:numRef>
              <c:f>ІГК!$D$10:$D$21</c:f>
              <c:numCache>
                <c:formatCode>0.0</c:formatCode>
                <c:ptCount val="12"/>
                <c:pt idx="0">
                  <c:v>3.5</c:v>
                </c:pt>
                <c:pt idx="1">
                  <c:v>4.2</c:v>
                </c:pt>
                <c:pt idx="2">
                  <c:v>4.0999999999999996</c:v>
                </c:pt>
                <c:pt idx="3">
                  <c:v>5.8</c:v>
                </c:pt>
                <c:pt idx="4">
                  <c:v>4.95</c:v>
                </c:pt>
                <c:pt idx="5">
                  <c:v>3.8</c:v>
                </c:pt>
                <c:pt idx="6">
                  <c:v>4.8</c:v>
                </c:pt>
                <c:pt idx="7">
                  <c:v>3.9</c:v>
                </c:pt>
                <c:pt idx="8">
                  <c:v>3.2</c:v>
                </c:pt>
                <c:pt idx="9">
                  <c:v>2.5</c:v>
                </c:pt>
                <c:pt idx="10">
                  <c:v>4</c:v>
                </c:pt>
                <c:pt idx="11">
                  <c:v>3.3</c:v>
                </c:pt>
              </c:numCache>
            </c:numRef>
          </c:val>
        </c:ser>
        <c:dLbls>
          <c:showLegendKey val="0"/>
          <c:showVal val="0"/>
          <c:showCatName val="0"/>
          <c:showSerName val="0"/>
          <c:showPercent val="0"/>
          <c:showBubbleSize val="0"/>
        </c:dLbls>
        <c:gapWidth val="150"/>
        <c:axId val="102069376"/>
        <c:axId val="102070912"/>
      </c:barChart>
      <c:catAx>
        <c:axId val="102069376"/>
        <c:scaling>
          <c:orientation val="minMax"/>
        </c:scaling>
        <c:delete val="1"/>
        <c:axPos val="l"/>
        <c:majorTickMark val="cross"/>
        <c:minorTickMark val="cross"/>
        <c:tickLblPos val="nextTo"/>
        <c:crossAx val="102070912"/>
        <c:crosses val="autoZero"/>
        <c:auto val="1"/>
        <c:lblAlgn val="ctr"/>
        <c:lblOffset val="100"/>
        <c:noMultiLvlLbl val="1"/>
      </c:catAx>
      <c:valAx>
        <c:axId val="102070912"/>
        <c:scaling>
          <c:orientation val="minMax"/>
        </c:scaling>
        <c:delete val="1"/>
        <c:axPos val="b"/>
        <c:numFmt formatCode="0.0" sourceLinked="1"/>
        <c:majorTickMark val="cross"/>
        <c:minorTickMark val="cross"/>
        <c:tickLblPos val="nextTo"/>
        <c:crossAx val="102069376"/>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4345</Words>
  <Characters>24773</Characters>
  <Application>Microsoft Office Word</Application>
  <DocSecurity>0</DocSecurity>
  <Lines>206</Lines>
  <Paragraphs>58</Paragraphs>
  <ScaleCrop>false</ScaleCrop>
  <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2013-07-18T11:13:00Z</dcterms:created>
  <dcterms:modified xsi:type="dcterms:W3CDTF">2013-07-18T11:13:00Z</dcterms:modified>
</cp:coreProperties>
</file>