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9E" w:rsidRDefault="006F449E" w:rsidP="006F449E">
      <w:pPr>
        <w:pStyle w:val="rvps2"/>
        <w:ind w:firstLine="708"/>
        <w:jc w:val="both"/>
        <w:rPr>
          <w:b/>
          <w:sz w:val="28"/>
          <w:szCs w:val="28"/>
          <w:lang w:val="uk-UA"/>
        </w:rPr>
      </w:pPr>
      <w:r w:rsidRPr="006F3D3A">
        <w:rPr>
          <w:b/>
          <w:sz w:val="28"/>
          <w:szCs w:val="28"/>
          <w:lang w:val="uk-UA"/>
        </w:rPr>
        <w:t>1.4. Прогнозні обсяги виробництва продукції (товарів, послуг).</w:t>
      </w:r>
    </w:p>
    <w:p w:rsidR="006F449E" w:rsidRDefault="006F449E" w:rsidP="006F449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7.45pt;margin-top:1.4pt;width:47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">
            <v:shadow on="t" opacity=".5" offset="6pt,6pt"/>
          </v:shape>
        </w:pict>
      </w:r>
    </w:p>
    <w:p w:rsidR="006F449E" w:rsidRDefault="006F449E" w:rsidP="006F449E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</w:p>
    <w:p w:rsidR="006F449E" w:rsidRPr="0087260F" w:rsidRDefault="006F449E" w:rsidP="006F449E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87260F">
        <w:rPr>
          <w:sz w:val="26"/>
          <w:szCs w:val="26"/>
          <w:lang w:val="uk-UA"/>
        </w:rPr>
        <w:t xml:space="preserve">Залежно від специфіки проекту, прогноз продажів розраховано </w:t>
      </w:r>
      <w:r w:rsidRPr="0087260F">
        <w:rPr>
          <w:b/>
          <w:i/>
          <w:sz w:val="26"/>
          <w:szCs w:val="26"/>
          <w:lang w:val="uk-UA"/>
        </w:rPr>
        <w:t>для двох видів діяльності</w:t>
      </w:r>
      <w:r w:rsidRPr="0087260F">
        <w:rPr>
          <w:sz w:val="26"/>
          <w:szCs w:val="26"/>
          <w:lang w:val="uk-UA"/>
        </w:rPr>
        <w:t xml:space="preserve"> закладів майбутнього міста: клінічного центру медичної реабілітації «Херсонський реабілітаційний центр» та оздоровчо-рекреаційних закладів (санаторіїв для батьків з дітьми, курортних готелів, пансіонатів та ін.).</w:t>
      </w:r>
    </w:p>
    <w:p w:rsidR="006F449E" w:rsidRPr="0087260F" w:rsidRDefault="006F449E" w:rsidP="006F449E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87260F">
        <w:rPr>
          <w:sz w:val="26"/>
          <w:szCs w:val="26"/>
          <w:lang w:val="uk-UA"/>
        </w:rPr>
        <w:t xml:space="preserve">В галузі </w:t>
      </w:r>
      <w:r w:rsidRPr="0087260F">
        <w:rPr>
          <w:b/>
          <w:i/>
          <w:sz w:val="26"/>
          <w:szCs w:val="26"/>
          <w:lang w:val="uk-UA"/>
        </w:rPr>
        <w:t>медичної реабілітації</w:t>
      </w:r>
      <w:r w:rsidRPr="0087260F">
        <w:rPr>
          <w:sz w:val="26"/>
          <w:szCs w:val="26"/>
          <w:lang w:val="uk-UA"/>
        </w:rPr>
        <w:t xml:space="preserve"> прогноз продажів (для клініки медичної реабілітації, що застосовуватиме запатентовані методики доктора В.</w:t>
      </w:r>
      <w:proofErr w:type="spellStart"/>
      <w:r w:rsidRPr="0087260F">
        <w:rPr>
          <w:sz w:val="26"/>
          <w:szCs w:val="26"/>
          <w:lang w:val="uk-UA"/>
        </w:rPr>
        <w:t>Козявкіна</w:t>
      </w:r>
      <w:proofErr w:type="spellEnd"/>
      <w:r w:rsidRPr="0087260F">
        <w:rPr>
          <w:sz w:val="26"/>
          <w:szCs w:val="26"/>
          <w:lang w:val="uk-UA"/>
        </w:rPr>
        <w:t>) засновується на:</w:t>
      </w:r>
    </w:p>
    <w:p w:rsidR="006F449E" w:rsidRPr="0087260F" w:rsidRDefault="006F449E" w:rsidP="006F449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87260F">
        <w:rPr>
          <w:sz w:val="26"/>
          <w:szCs w:val="26"/>
          <w:lang w:val="uk-UA"/>
        </w:rPr>
        <w:t>кількості хворих за видами хвороб, які потребують медичної реабілітації, та для яких існують запатентовані методики доктора В.</w:t>
      </w:r>
      <w:proofErr w:type="spellStart"/>
      <w:r w:rsidRPr="0087260F">
        <w:rPr>
          <w:sz w:val="26"/>
          <w:szCs w:val="26"/>
          <w:lang w:val="uk-UA"/>
        </w:rPr>
        <w:t>Козявкіна</w:t>
      </w:r>
      <w:proofErr w:type="spellEnd"/>
      <w:r w:rsidRPr="0087260F">
        <w:rPr>
          <w:sz w:val="26"/>
          <w:szCs w:val="26"/>
          <w:lang w:val="uk-UA"/>
        </w:rPr>
        <w:t>, - розглядаються як потенційний ринок;</w:t>
      </w:r>
    </w:p>
    <w:p w:rsidR="006F449E" w:rsidRPr="0087260F" w:rsidRDefault="006F449E" w:rsidP="006F449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87260F">
        <w:rPr>
          <w:sz w:val="26"/>
          <w:szCs w:val="26"/>
          <w:lang w:val="uk-UA"/>
        </w:rPr>
        <w:t>кількості осіб, для яких прогнозні вартості пропонованих клінікою послуг є прийнятними, - розглядаються як доступний ринок.</w:t>
      </w:r>
    </w:p>
    <w:p w:rsidR="006F449E" w:rsidRPr="0087260F" w:rsidRDefault="006F449E" w:rsidP="006F449E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87260F">
        <w:rPr>
          <w:sz w:val="26"/>
          <w:szCs w:val="26"/>
          <w:lang w:val="uk-UA"/>
        </w:rPr>
        <w:t>За даними МОЗ України, існуючи методики будуть розвинені, а отже, Центр призначатиметеся для цілодобового стаціонарного, амбулаторно-поліклінічного (денний стаціонар) лікування хворих різних вікових груп з наслідками: травм, ортопедичних, неврологічних, нейрохірургічних, гінекологічних, дитячих захворювань, оперативних втручань, хвороб органів кровообігу, дихання, травлення, сечостатевої системи та ін.</w:t>
      </w:r>
    </w:p>
    <w:p w:rsidR="006F449E" w:rsidRPr="0087260F" w:rsidRDefault="006F449E" w:rsidP="006F449E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87260F">
        <w:rPr>
          <w:i/>
          <w:sz w:val="26"/>
          <w:szCs w:val="26"/>
          <w:lang w:val="uk-UA"/>
        </w:rPr>
        <w:t>Динаміку обсягів потенційного та доступного ринків</w:t>
      </w:r>
      <w:r w:rsidRPr="0087260F">
        <w:rPr>
          <w:sz w:val="26"/>
          <w:szCs w:val="26"/>
          <w:lang w:val="uk-UA"/>
        </w:rPr>
        <w:t xml:space="preserve"> для Центру представлено на рисунках </w:t>
      </w:r>
      <w:r>
        <w:rPr>
          <w:sz w:val="26"/>
          <w:szCs w:val="26"/>
          <w:lang w:val="uk-UA"/>
        </w:rPr>
        <w:t>1.</w:t>
      </w:r>
      <w:r w:rsidRPr="0087260F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 – 1.</w:t>
      </w:r>
      <w:r w:rsidRPr="0087260F">
        <w:rPr>
          <w:sz w:val="26"/>
          <w:szCs w:val="26"/>
          <w:lang w:val="uk-UA"/>
        </w:rPr>
        <w:t>3, розрахунки проведено з урахуванням: даних Державної служби статистики України щодо поширеності хвороб серед населення України за окремими класами; даних МОЗ України, зокрема, про процент хворих на вказані класи хвороб, що потребують відновного лікування; проведеного маркетингового дослідження щодо уподобань та грошових можливостей потенційних споживачів.</w:t>
      </w:r>
    </w:p>
    <w:p w:rsidR="006F449E" w:rsidRPr="000E1DDA" w:rsidRDefault="006F449E" w:rsidP="006F449E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1313" cy="1477391"/>
            <wp:effectExtent l="6097" t="6096" r="3175" b="4318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449E" w:rsidRPr="0087260F" w:rsidRDefault="006F449E" w:rsidP="006F449E">
      <w:pPr>
        <w:pStyle w:val="a4"/>
        <w:spacing w:before="0" w:beforeAutospacing="0" w:after="0" w:afterAutospacing="0" w:line="360" w:lineRule="auto"/>
        <w:ind w:firstLine="709"/>
        <w:jc w:val="center"/>
        <w:rPr>
          <w:sz w:val="26"/>
          <w:szCs w:val="26"/>
          <w:lang w:val="uk-UA"/>
        </w:rPr>
      </w:pPr>
      <w:r w:rsidRPr="0087260F">
        <w:rPr>
          <w:sz w:val="26"/>
          <w:szCs w:val="26"/>
          <w:lang w:val="uk-UA"/>
        </w:rPr>
        <w:t>Рисунок 1. 2 – Динаміка обсягів потенційного ринку Центру</w:t>
      </w:r>
    </w:p>
    <w:p w:rsidR="006F449E" w:rsidRPr="000E1DDA" w:rsidRDefault="006F449E" w:rsidP="006F449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6F449E" w:rsidRPr="000E1DDA" w:rsidRDefault="006F449E" w:rsidP="006F449E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41313" cy="1477391"/>
            <wp:effectExtent l="6097" t="6096" r="3175" b="4318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449E" w:rsidRPr="0087260F" w:rsidRDefault="006F449E" w:rsidP="006F449E">
      <w:pPr>
        <w:pStyle w:val="a4"/>
        <w:spacing w:before="0" w:beforeAutospacing="0" w:after="0" w:afterAutospacing="0" w:line="360" w:lineRule="auto"/>
        <w:ind w:firstLine="709"/>
        <w:jc w:val="center"/>
        <w:rPr>
          <w:sz w:val="26"/>
          <w:szCs w:val="26"/>
          <w:lang w:val="uk-UA"/>
        </w:rPr>
      </w:pPr>
      <w:r w:rsidRPr="0087260F">
        <w:rPr>
          <w:sz w:val="26"/>
          <w:szCs w:val="26"/>
          <w:lang w:val="uk-UA"/>
        </w:rPr>
        <w:t>Рисунок 1. 3  – Динаміка обсягів доступного ринку Центру</w:t>
      </w:r>
    </w:p>
    <w:p w:rsidR="006F449E" w:rsidRDefault="006F449E" w:rsidP="006F449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F449E" w:rsidRPr="0087260F" w:rsidRDefault="006F449E" w:rsidP="006F449E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87260F">
        <w:rPr>
          <w:sz w:val="26"/>
          <w:szCs w:val="26"/>
          <w:lang w:val="uk-UA"/>
        </w:rPr>
        <w:t>Відповідно до проведених розрахунків, максимальний обсяг доступного ринку становить 27664 особи, що складає 92% від потужності майбутнього Центру; мінімальний обсяг – 23208 осіб або 77%; найбільш ймовірний – 25332 особи або 84%.</w:t>
      </w:r>
    </w:p>
    <w:p w:rsidR="006F449E" w:rsidRPr="0087260F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 xml:space="preserve">В </w:t>
      </w:r>
      <w:r w:rsidRPr="0087260F">
        <w:rPr>
          <w:rFonts w:ascii="Times New Roman" w:hAnsi="Times New Roman"/>
          <w:b/>
          <w:i/>
          <w:sz w:val="26"/>
          <w:szCs w:val="26"/>
          <w:lang w:val="uk-UA"/>
        </w:rPr>
        <w:t>туристичної галузі</w:t>
      </w:r>
      <w:r w:rsidRPr="0087260F">
        <w:rPr>
          <w:rFonts w:ascii="Times New Roman" w:hAnsi="Times New Roman"/>
          <w:sz w:val="26"/>
          <w:szCs w:val="26"/>
          <w:lang w:val="uk-UA"/>
        </w:rPr>
        <w:t xml:space="preserve"> також прийняті </w:t>
      </w:r>
      <w:r w:rsidRPr="0087260F">
        <w:rPr>
          <w:rFonts w:ascii="Times New Roman" w:hAnsi="Times New Roman"/>
          <w:b/>
          <w:i/>
          <w:sz w:val="26"/>
          <w:szCs w:val="26"/>
          <w:lang w:val="uk-UA"/>
        </w:rPr>
        <w:t>прогнозні розрахунки</w:t>
      </w:r>
      <w:r w:rsidRPr="0087260F">
        <w:rPr>
          <w:rFonts w:ascii="Times New Roman" w:hAnsi="Times New Roman"/>
          <w:sz w:val="26"/>
          <w:szCs w:val="26"/>
          <w:lang w:val="uk-UA"/>
        </w:rPr>
        <w:t xml:space="preserve"> для, як мінімум, двох видів ринків: потенційного та доступного.</w:t>
      </w:r>
    </w:p>
    <w:p w:rsidR="006F449E" w:rsidRPr="0087260F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>У випадку проекту «</w:t>
      </w:r>
      <w:proofErr w:type="spellStart"/>
      <w:r w:rsidRPr="0087260F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87260F">
        <w:rPr>
          <w:rFonts w:ascii="Times New Roman" w:hAnsi="Times New Roman"/>
          <w:sz w:val="26"/>
          <w:szCs w:val="26"/>
          <w:lang w:val="uk-UA"/>
        </w:rPr>
        <w:t xml:space="preserve">» </w:t>
      </w:r>
      <w:r w:rsidRPr="0087260F">
        <w:rPr>
          <w:rFonts w:ascii="Times New Roman" w:hAnsi="Times New Roman"/>
          <w:b/>
          <w:i/>
          <w:sz w:val="26"/>
          <w:szCs w:val="26"/>
          <w:lang w:val="uk-UA"/>
        </w:rPr>
        <w:t>потенційним ринком</w:t>
      </w:r>
      <w:r w:rsidRPr="0087260F">
        <w:rPr>
          <w:rFonts w:ascii="Times New Roman" w:hAnsi="Times New Roman"/>
          <w:sz w:val="26"/>
          <w:szCs w:val="26"/>
          <w:lang w:val="uk-UA"/>
        </w:rPr>
        <w:t xml:space="preserve"> є ринок туризму України, причому у сегментах зовнішнього та внутрішнього лікувально-оздоровчого і рекреаційно-оздоровчого туризму.</w:t>
      </w:r>
    </w:p>
    <w:p w:rsidR="006F449E" w:rsidRPr="0087260F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>Обсяги потенційного ринку було розраховано за такими припущеннями:</w:t>
      </w:r>
    </w:p>
    <w:p w:rsidR="006F449E" w:rsidRPr="0087260F" w:rsidRDefault="006F449E" w:rsidP="006F44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>серед вітчизняних внутрішніх туристів частка осіб, метою подорожей яких є лікування становить, у середньому, 20% (за винятком подорожей до Криму);</w:t>
      </w:r>
    </w:p>
    <w:p w:rsidR="006F449E" w:rsidRPr="0087260F" w:rsidRDefault="006F449E" w:rsidP="006F44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>серед вітчизняних внутрішніх туристів частка осіб, метою подорожей яких є оздоровлення та рекреація – пляжний відпочинок – становить, у середньому, 24% (за винятком подорожей до Криму);</w:t>
      </w:r>
    </w:p>
    <w:p w:rsidR="006F449E" w:rsidRPr="0087260F" w:rsidRDefault="006F449E" w:rsidP="006F44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>серед іноземних туристів частка осіб, метою подорожей яких є лікування становить, у середньому, 3,2% (за винятком подорожей до Криму);</w:t>
      </w:r>
    </w:p>
    <w:p w:rsidR="006F449E" w:rsidRPr="0087260F" w:rsidRDefault="006F449E" w:rsidP="006F44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lastRenderedPageBreak/>
        <w:t>серед іноземних туристів частка осіб, метою подорожей яких є оздоровлення та рекреація – пляжний відпочинок – становить, у середньому, 37% (за винятком подорожей до Криму).</w:t>
      </w:r>
    </w:p>
    <w:p w:rsidR="006F449E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i/>
          <w:sz w:val="26"/>
          <w:szCs w:val="26"/>
          <w:lang w:val="uk-UA"/>
        </w:rPr>
        <w:t>Прогноз обсягу лікувально-оздоровчого і рекреаційно-оздоровчого сегментів</w:t>
      </w:r>
      <w:r w:rsidRPr="0087260F">
        <w:rPr>
          <w:rFonts w:ascii="Times New Roman" w:hAnsi="Times New Roman"/>
          <w:sz w:val="26"/>
          <w:szCs w:val="26"/>
          <w:lang w:val="uk-UA"/>
        </w:rPr>
        <w:t xml:space="preserve"> туристичного ринку в Україні представлений в таблиці </w:t>
      </w:r>
      <w:r>
        <w:rPr>
          <w:rFonts w:ascii="Times New Roman" w:hAnsi="Times New Roman"/>
          <w:sz w:val="26"/>
          <w:szCs w:val="26"/>
          <w:lang w:val="uk-UA"/>
        </w:rPr>
        <w:t>1.</w:t>
      </w:r>
      <w:r w:rsidRPr="0087260F">
        <w:rPr>
          <w:rFonts w:ascii="Times New Roman" w:hAnsi="Times New Roman"/>
          <w:sz w:val="26"/>
          <w:szCs w:val="26"/>
          <w:lang w:val="uk-UA"/>
        </w:rPr>
        <w:t>2.</w:t>
      </w:r>
    </w:p>
    <w:p w:rsidR="006F449E" w:rsidRPr="0087260F" w:rsidRDefault="006F449E" w:rsidP="006F449E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1.</w:t>
      </w:r>
      <w:r w:rsidRPr="0087260F">
        <w:rPr>
          <w:rFonts w:ascii="Times New Roman" w:hAnsi="Times New Roman"/>
          <w:sz w:val="26"/>
          <w:szCs w:val="26"/>
          <w:lang w:val="uk-UA"/>
        </w:rPr>
        <w:t>2 – Прогноз обсягу потенційного ринку проекту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7"/>
        <w:gridCol w:w="1417"/>
        <w:gridCol w:w="3970"/>
        <w:gridCol w:w="1701"/>
      </w:tblGrid>
      <w:tr w:rsidR="006F449E" w:rsidRPr="00C70E2C" w:rsidTr="003E2C2D">
        <w:trPr>
          <w:trHeight w:val="255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2834" w:type="dxa"/>
            <w:gridSpan w:val="2"/>
            <w:shd w:val="clear" w:color="auto" w:fill="auto"/>
            <w:noWrap/>
            <w:vAlign w:val="bottom"/>
            <w:hideMark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Загальна кількість туристів (осіб)</w:t>
            </w:r>
          </w:p>
        </w:tc>
        <w:tc>
          <w:tcPr>
            <w:tcW w:w="3970" w:type="dxa"/>
            <w:vMerge w:val="restart"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Прогнозна модель</w:t>
            </w:r>
          </w:p>
        </w:tc>
        <w:tc>
          <w:tcPr>
            <w:tcW w:w="1701" w:type="dxa"/>
            <w:vMerge w:val="restart"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Коефіцієнт детермінації</w:t>
            </w:r>
          </w:p>
        </w:tc>
      </w:tr>
      <w:tr w:rsidR="006F449E" w:rsidRPr="00C70E2C" w:rsidTr="003E2C2D">
        <w:trPr>
          <w:cantSplit/>
          <w:trHeight w:val="736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іноземні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вітчизняні</w:t>
            </w:r>
          </w:p>
        </w:tc>
        <w:tc>
          <w:tcPr>
            <w:tcW w:w="3970" w:type="dxa"/>
            <w:vMerge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6F449E" w:rsidRPr="00C70E2C" w:rsidTr="003E2C2D">
        <w:trPr>
          <w:trHeight w:val="330"/>
        </w:trPr>
        <w:tc>
          <w:tcPr>
            <w:tcW w:w="851" w:type="dxa"/>
            <w:shd w:val="clear" w:color="000000" w:fill="FFFFFF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98864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333035</w:t>
            </w:r>
          </w:p>
        </w:tc>
        <w:tc>
          <w:tcPr>
            <w:tcW w:w="3970" w:type="dxa"/>
            <w:vMerge w:val="restart"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для потоку іноземних туристів:</w:t>
            </w:r>
          </w:p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y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=169159,8+951,94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-16705,8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=0,8188</w:t>
            </w:r>
          </w:p>
        </w:tc>
      </w:tr>
      <w:tr w:rsidR="006F449E" w:rsidRPr="00C70E2C" w:rsidTr="003E2C2D">
        <w:trPr>
          <w:trHeight w:val="330"/>
        </w:trPr>
        <w:tc>
          <w:tcPr>
            <w:tcW w:w="851" w:type="dxa"/>
            <w:shd w:val="clear" w:color="000000" w:fill="FFFFFF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96437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441932</w:t>
            </w:r>
          </w:p>
        </w:tc>
        <w:tc>
          <w:tcPr>
            <w:tcW w:w="3970" w:type="dxa"/>
            <w:vMerge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6F449E" w:rsidRPr="00C70E2C" w:rsidTr="003E2C2D">
        <w:trPr>
          <w:trHeight w:val="330"/>
        </w:trPr>
        <w:tc>
          <w:tcPr>
            <w:tcW w:w="851" w:type="dxa"/>
            <w:shd w:val="clear" w:color="000000" w:fill="FFFFFF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95915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593705</w:t>
            </w:r>
          </w:p>
        </w:tc>
        <w:tc>
          <w:tcPr>
            <w:tcW w:w="3970" w:type="dxa"/>
            <w:vMerge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6F449E" w:rsidRPr="00C70E2C" w:rsidTr="003E2C2D">
        <w:trPr>
          <w:trHeight w:val="330"/>
        </w:trPr>
        <w:tc>
          <w:tcPr>
            <w:tcW w:w="851" w:type="dxa"/>
            <w:shd w:val="clear" w:color="000000" w:fill="FFFFFF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97296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788355</w:t>
            </w:r>
          </w:p>
        </w:tc>
        <w:tc>
          <w:tcPr>
            <w:tcW w:w="3970" w:type="dxa"/>
            <w:vMerge w:val="restart"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для потоку вітчизняних туристів:</w:t>
            </w:r>
          </w:p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y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=771299,1+21438,33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-21677,7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:rsidR="006F449E" w:rsidRPr="0087260F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  <w:r w:rsidRPr="008726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=0,9987</w:t>
            </w:r>
          </w:p>
        </w:tc>
      </w:tr>
      <w:tr w:rsidR="006F449E" w:rsidRPr="00C70E2C" w:rsidTr="003E2C2D">
        <w:trPr>
          <w:trHeight w:val="330"/>
        </w:trPr>
        <w:tc>
          <w:tcPr>
            <w:tcW w:w="851" w:type="dxa"/>
            <w:shd w:val="clear" w:color="000000" w:fill="FFFFFF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100581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1025881</w:t>
            </w:r>
          </w:p>
        </w:tc>
        <w:tc>
          <w:tcPr>
            <w:tcW w:w="3970" w:type="dxa"/>
            <w:vMerge/>
          </w:tcPr>
          <w:p w:rsidR="006F449E" w:rsidRPr="0087260F" w:rsidRDefault="006F449E" w:rsidP="003E2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6F449E" w:rsidRPr="0087260F" w:rsidRDefault="006F449E" w:rsidP="003E2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6F449E" w:rsidRPr="00C70E2C" w:rsidTr="003E2C2D">
        <w:trPr>
          <w:trHeight w:val="330"/>
        </w:trPr>
        <w:tc>
          <w:tcPr>
            <w:tcW w:w="851" w:type="dxa"/>
            <w:shd w:val="clear" w:color="000000" w:fill="FFFFFF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105769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449E" w:rsidRPr="00C70E2C" w:rsidRDefault="006F449E" w:rsidP="003E2C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E2C">
              <w:rPr>
                <w:rFonts w:ascii="Times New Roman" w:hAnsi="Times New Roman"/>
                <w:color w:val="000000"/>
                <w:sz w:val="26"/>
                <w:szCs w:val="26"/>
              </w:rPr>
              <w:t>1306284</w:t>
            </w:r>
          </w:p>
        </w:tc>
        <w:tc>
          <w:tcPr>
            <w:tcW w:w="3970" w:type="dxa"/>
            <w:vMerge/>
          </w:tcPr>
          <w:p w:rsidR="006F449E" w:rsidRPr="0087260F" w:rsidRDefault="006F449E" w:rsidP="003E2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6F449E" w:rsidRPr="0087260F" w:rsidRDefault="006F449E" w:rsidP="003E2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6F449E" w:rsidRPr="0087260F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>Щодо доступного ринку, то у випадку проекту «</w:t>
      </w:r>
      <w:proofErr w:type="spellStart"/>
      <w:r w:rsidRPr="0087260F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87260F">
        <w:rPr>
          <w:rFonts w:ascii="Times New Roman" w:hAnsi="Times New Roman"/>
          <w:sz w:val="26"/>
          <w:szCs w:val="26"/>
          <w:lang w:val="uk-UA"/>
        </w:rPr>
        <w:t xml:space="preserve">» </w:t>
      </w:r>
      <w:r w:rsidRPr="0087260F">
        <w:rPr>
          <w:rFonts w:ascii="Times New Roman" w:hAnsi="Times New Roman"/>
          <w:b/>
          <w:i/>
          <w:sz w:val="26"/>
          <w:szCs w:val="26"/>
          <w:lang w:val="uk-UA"/>
        </w:rPr>
        <w:t>доступним  ринком</w:t>
      </w:r>
      <w:r w:rsidRPr="0087260F">
        <w:rPr>
          <w:rFonts w:ascii="Times New Roman" w:hAnsi="Times New Roman"/>
          <w:sz w:val="26"/>
          <w:szCs w:val="26"/>
          <w:lang w:val="uk-UA"/>
        </w:rPr>
        <w:t xml:space="preserve"> є ринок туризму Херсонської області, причому також у сегментах зовнішнього та внутрішнього лікувально-оздоровчого і рекреаційно-оздоровчого туризму.</w:t>
      </w:r>
    </w:p>
    <w:p w:rsidR="006F449E" w:rsidRPr="0087260F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>Прогнозні обсяги доступного ринку було розраховано за такими вихідними даними та припущеннями:</w:t>
      </w:r>
    </w:p>
    <w:p w:rsidR="006F449E" w:rsidRPr="0087260F" w:rsidRDefault="006F449E" w:rsidP="006F44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>доступний ринок розраховується як частка потенційного ринку;</w:t>
      </w:r>
    </w:p>
    <w:p w:rsidR="006F449E" w:rsidRPr="0087260F" w:rsidRDefault="006F449E" w:rsidP="006F44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 xml:space="preserve">величина частки для вхідних даних </w:t>
      </w:r>
      <w:r w:rsidRPr="0087260F">
        <w:rPr>
          <w:rFonts w:ascii="Times New Roman" w:hAnsi="Times New Roman"/>
          <w:b/>
          <w:i/>
          <w:sz w:val="26"/>
          <w:szCs w:val="26"/>
          <w:lang w:val="uk-UA"/>
        </w:rPr>
        <w:t>оптимістичного прогнозу</w:t>
      </w:r>
      <w:r w:rsidRPr="0087260F">
        <w:rPr>
          <w:rFonts w:ascii="Times New Roman" w:hAnsi="Times New Roman"/>
          <w:sz w:val="26"/>
          <w:szCs w:val="26"/>
          <w:lang w:val="uk-UA"/>
        </w:rPr>
        <w:t xml:space="preserve"> розраховується як максимальний процент туристичного потоку Херсонської області від загального туристичного потоку України (у сегментах зовнішнього та внутрішнього лікувально-оздоровчого і рекреаційно-оздоровчого туризму);</w:t>
      </w:r>
    </w:p>
    <w:p w:rsidR="006F449E" w:rsidRPr="0087260F" w:rsidRDefault="006F449E" w:rsidP="006F44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 xml:space="preserve">величина частки для вхідних даних </w:t>
      </w:r>
      <w:r w:rsidRPr="0087260F">
        <w:rPr>
          <w:rFonts w:ascii="Times New Roman" w:hAnsi="Times New Roman"/>
          <w:b/>
          <w:i/>
          <w:sz w:val="26"/>
          <w:szCs w:val="26"/>
          <w:lang w:val="uk-UA"/>
        </w:rPr>
        <w:t>песимістичного прогнозу</w:t>
      </w:r>
      <w:r w:rsidRPr="0087260F">
        <w:rPr>
          <w:rFonts w:ascii="Times New Roman" w:hAnsi="Times New Roman"/>
          <w:sz w:val="26"/>
          <w:szCs w:val="26"/>
          <w:lang w:val="uk-UA"/>
        </w:rPr>
        <w:t xml:space="preserve"> розраховується як мінімальний процент туристичного потоку Херсонської області від загального туристичного потоку України (у сегментах зовнішнього та внутрішнього лікувально-оздоровчого і рекреаційно-оздоровчого туризму);</w:t>
      </w:r>
    </w:p>
    <w:p w:rsidR="006F449E" w:rsidRPr="0087260F" w:rsidRDefault="006F449E" w:rsidP="006F44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>збільшення туристичного потоку становить 5% на рік за умов обґрунтованої маркетингової стратегії, просування бренду та масштабної рекламної кампанії.</w:t>
      </w:r>
    </w:p>
    <w:p w:rsidR="006F449E" w:rsidRPr="0087260F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lastRenderedPageBreak/>
        <w:t>Відповідні проценти за статистичними даними становлять для вітчизняних туристів: максимальний – 13,03%, мінімальний – 1,36%; для іноземних туристів – максимальний – 2,38%, мінімальний – 0,013%.</w:t>
      </w:r>
    </w:p>
    <w:p w:rsidR="006F449E" w:rsidRPr="0087260F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260F">
        <w:rPr>
          <w:rFonts w:ascii="Times New Roman" w:hAnsi="Times New Roman"/>
          <w:sz w:val="26"/>
          <w:szCs w:val="26"/>
          <w:lang w:val="uk-UA"/>
        </w:rPr>
        <w:t xml:space="preserve">Відповідно збільшення обсягів туристичного потоку на рік становитиме для вітчизняних туристів – 0,068% від загального туристичного потоку у вказаних сегментах туристичного ринку України; для іноземних туристів – 0,051% від загального туристичного потоку у вказаних сегментах туристичного ринку України (таблиці </w:t>
      </w:r>
      <w:r>
        <w:rPr>
          <w:rFonts w:ascii="Times New Roman" w:hAnsi="Times New Roman"/>
          <w:sz w:val="26"/>
          <w:szCs w:val="26"/>
          <w:lang w:val="uk-UA"/>
        </w:rPr>
        <w:t>1.</w:t>
      </w:r>
      <w:r w:rsidRPr="0087260F">
        <w:rPr>
          <w:rFonts w:ascii="Times New Roman" w:hAnsi="Times New Roman"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 xml:space="preserve"> – 1.</w:t>
      </w:r>
      <w:r w:rsidRPr="0087260F">
        <w:rPr>
          <w:rFonts w:ascii="Times New Roman" w:hAnsi="Times New Roman"/>
          <w:sz w:val="26"/>
          <w:szCs w:val="26"/>
          <w:lang w:val="uk-UA"/>
        </w:rPr>
        <w:t>4).</w:t>
      </w:r>
    </w:p>
    <w:p w:rsidR="006F449E" w:rsidRPr="004F2237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F2237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1.</w:t>
      </w:r>
      <w:r w:rsidRPr="004F2237">
        <w:rPr>
          <w:rFonts w:ascii="Times New Roman" w:hAnsi="Times New Roman"/>
          <w:sz w:val="26"/>
          <w:szCs w:val="26"/>
          <w:lang w:val="uk-UA"/>
        </w:rPr>
        <w:t>3 – Оптимістичний прогноз обсягу доступного ринку проекту</w:t>
      </w: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1100"/>
        <w:gridCol w:w="1305"/>
        <w:gridCol w:w="1160"/>
        <w:gridCol w:w="1305"/>
        <w:gridCol w:w="1156"/>
        <w:gridCol w:w="1305"/>
        <w:gridCol w:w="1305"/>
      </w:tblGrid>
      <w:tr w:rsidR="006F449E" w:rsidRPr="00C70E2C" w:rsidTr="003E2C2D">
        <w:trPr>
          <w:trHeight w:val="255"/>
        </w:trPr>
        <w:tc>
          <w:tcPr>
            <w:tcW w:w="844" w:type="dxa"/>
            <w:vMerge w:val="restart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Кількість туристів на Україну (осіб)</w:t>
            </w:r>
          </w:p>
        </w:tc>
        <w:tc>
          <w:tcPr>
            <w:tcW w:w="6231" w:type="dxa"/>
            <w:gridSpan w:val="5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Херсонська область</w:t>
            </w:r>
          </w:p>
        </w:tc>
      </w:tr>
      <w:tr w:rsidR="006F449E" w:rsidRPr="00C70E2C" w:rsidTr="003E2C2D">
        <w:trPr>
          <w:trHeight w:val="255"/>
        </w:trPr>
        <w:tc>
          <w:tcPr>
            <w:tcW w:w="844" w:type="dxa"/>
            <w:vMerge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  <w:gridSpan w:val="2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% від загальної кількості туристичного потоку України</w:t>
            </w:r>
          </w:p>
        </w:tc>
        <w:tc>
          <w:tcPr>
            <w:tcW w:w="3766" w:type="dxa"/>
            <w:gridSpan w:val="3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кількість туристів (осіб)</w:t>
            </w:r>
          </w:p>
        </w:tc>
      </w:tr>
      <w:tr w:rsidR="006F449E" w:rsidRPr="00C70E2C" w:rsidTr="003E2C2D">
        <w:trPr>
          <w:trHeight w:val="1020"/>
        </w:trPr>
        <w:tc>
          <w:tcPr>
            <w:tcW w:w="844" w:type="dxa"/>
            <w:vMerge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іноземні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вітчизняні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іноземні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вітчизняні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іноземні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вітчизняні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96437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441932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14,02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61970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64388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95915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593705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85265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87673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97296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788355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115893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118339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100581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1025881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154289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156821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105769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1306284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200890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203555</w:t>
            </w:r>
          </w:p>
        </w:tc>
      </w:tr>
    </w:tbl>
    <w:p w:rsidR="006F449E" w:rsidRPr="000E1DDA" w:rsidRDefault="006F449E" w:rsidP="006F449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449E" w:rsidRPr="004F2237" w:rsidRDefault="006F449E" w:rsidP="006F449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F2237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1.</w:t>
      </w:r>
      <w:r w:rsidRPr="004F2237">
        <w:rPr>
          <w:rFonts w:ascii="Times New Roman" w:hAnsi="Times New Roman"/>
          <w:sz w:val="26"/>
          <w:szCs w:val="26"/>
          <w:lang w:val="uk-UA"/>
        </w:rPr>
        <w:t>4 – Песимістичний прогноз обсягу доступного ринку проекту</w:t>
      </w: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1100"/>
        <w:gridCol w:w="1305"/>
        <w:gridCol w:w="1160"/>
        <w:gridCol w:w="1305"/>
        <w:gridCol w:w="1156"/>
        <w:gridCol w:w="1305"/>
        <w:gridCol w:w="1305"/>
      </w:tblGrid>
      <w:tr w:rsidR="006F449E" w:rsidRPr="00C70E2C" w:rsidTr="003E2C2D">
        <w:trPr>
          <w:trHeight w:val="255"/>
        </w:trPr>
        <w:tc>
          <w:tcPr>
            <w:tcW w:w="844" w:type="dxa"/>
            <w:vMerge w:val="restart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Кількість туристів на Україну (осіб)</w:t>
            </w:r>
          </w:p>
        </w:tc>
        <w:tc>
          <w:tcPr>
            <w:tcW w:w="6231" w:type="dxa"/>
            <w:gridSpan w:val="5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Херсонська область</w:t>
            </w:r>
          </w:p>
        </w:tc>
      </w:tr>
      <w:tr w:rsidR="006F449E" w:rsidRPr="00C70E2C" w:rsidTr="003E2C2D">
        <w:trPr>
          <w:trHeight w:val="255"/>
        </w:trPr>
        <w:tc>
          <w:tcPr>
            <w:tcW w:w="844" w:type="dxa"/>
            <w:vMerge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  <w:gridSpan w:val="2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% від загальної кількості туристичного потоку України</w:t>
            </w:r>
          </w:p>
        </w:tc>
        <w:tc>
          <w:tcPr>
            <w:tcW w:w="3766" w:type="dxa"/>
            <w:gridSpan w:val="3"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кількість туристів (осіб)</w:t>
            </w:r>
          </w:p>
        </w:tc>
      </w:tr>
      <w:tr w:rsidR="006F449E" w:rsidRPr="00C70E2C" w:rsidTr="003E2C2D">
        <w:trPr>
          <w:trHeight w:val="1020"/>
        </w:trPr>
        <w:tc>
          <w:tcPr>
            <w:tcW w:w="844" w:type="dxa"/>
            <w:vMerge/>
            <w:shd w:val="clear" w:color="auto" w:fill="auto"/>
            <w:noWrap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іноземні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вітчизняні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іноземні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вітчизняні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іноземні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вітчизняні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449E" w:rsidRPr="005615B2" w:rsidRDefault="006F449E" w:rsidP="003E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96437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441932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1,763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7791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7808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95915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593705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2,102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12480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12499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97296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788355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2,441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19245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19267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100581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1025881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0,027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2,780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28521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28548</w:t>
            </w:r>
          </w:p>
        </w:tc>
      </w:tr>
      <w:tr w:rsidR="006F449E" w:rsidRPr="00C70E2C" w:rsidTr="003E2C2D">
        <w:trPr>
          <w:trHeight w:val="315"/>
        </w:trPr>
        <w:tc>
          <w:tcPr>
            <w:tcW w:w="844" w:type="dxa"/>
            <w:shd w:val="clear" w:color="000000" w:fill="FFFFFF"/>
            <w:vAlign w:val="center"/>
            <w:hideMark/>
          </w:tcPr>
          <w:p w:rsidR="006F449E" w:rsidRPr="005615B2" w:rsidRDefault="006F449E" w:rsidP="003E2C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105769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1306284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3,119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40746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F449E" w:rsidRPr="00C70E2C" w:rsidRDefault="006F449E" w:rsidP="003E2C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E2C">
              <w:rPr>
                <w:rFonts w:ascii="Times New Roman" w:hAnsi="Times New Roman"/>
                <w:color w:val="000000"/>
                <w:sz w:val="24"/>
                <w:szCs w:val="24"/>
              </w:rPr>
              <w:t>40777</w:t>
            </w:r>
          </w:p>
        </w:tc>
      </w:tr>
    </w:tbl>
    <w:p w:rsidR="00000000" w:rsidRDefault="006F449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3224D"/>
    <w:multiLevelType w:val="hybridMultilevel"/>
    <w:tmpl w:val="FAECDEE8"/>
    <w:lvl w:ilvl="0" w:tplc="4BA6A0D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4256F0"/>
    <w:multiLevelType w:val="hybridMultilevel"/>
    <w:tmpl w:val="7D3040D8"/>
    <w:lvl w:ilvl="0" w:tplc="6A50EE3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F449E"/>
    <w:rsid w:val="006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6F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6F44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F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9;&#1055;\Desktop\&#1055;&#1088;&#1086;&#1075;&#1085;&#1086;&#1079;\&#1055;&#1088;&#1086;&#1094;&#1077;&#1085;&#1090;&#1099;_&#1079;&#1072;&#1075;&#1088;&#1091;&#1079;&#1082;&#108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9;&#1055;\Desktop\&#1055;&#1088;&#1086;&#1075;&#1085;&#1086;&#1079;\&#1055;&#1088;&#1086;&#1094;&#1077;&#1085;&#1090;&#1099;_&#1079;&#1072;&#1075;&#1088;&#1091;&#1079;&#1082;&#1080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ser>
          <c:idx val="0"/>
          <c:order val="0"/>
          <c:tx>
            <c:v>Потенційний ринок</c:v>
          </c:tx>
          <c:xVal>
            <c:numRef>
              <c:f>'Прогноз потенційного ринку'!$A$76:$A$95</c:f>
              <c:numCache>
                <c:formatCode>General</c:formatCode>
                <c:ptCount val="2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</c:numCache>
            </c:numRef>
          </c:xVal>
          <c:yVal>
            <c:numRef>
              <c:f>'Прогноз потенційного ринку'!$H$33:$H$52</c:f>
              <c:numCache>
                <c:formatCode>General</c:formatCode>
                <c:ptCount val="20"/>
                <c:pt idx="0">
                  <c:v>17984000</c:v>
                </c:pt>
                <c:pt idx="1">
                  <c:v>16074400</c:v>
                </c:pt>
                <c:pt idx="2">
                  <c:v>17028800</c:v>
                </c:pt>
                <c:pt idx="3">
                  <c:v>15087200</c:v>
                </c:pt>
                <c:pt idx="4">
                  <c:v>15856800</c:v>
                </c:pt>
                <c:pt idx="5">
                  <c:v>15930400</c:v>
                </c:pt>
                <c:pt idx="6">
                  <c:v>16577600</c:v>
                </c:pt>
                <c:pt idx="7">
                  <c:v>17004000</c:v>
                </c:pt>
                <c:pt idx="8">
                  <c:v>16708000</c:v>
                </c:pt>
                <c:pt idx="9">
                  <c:v>16020000</c:v>
                </c:pt>
                <c:pt idx="10">
                  <c:v>16476000</c:v>
                </c:pt>
                <c:pt idx="11">
                  <c:v>16325600</c:v>
                </c:pt>
                <c:pt idx="12">
                  <c:v>16618400</c:v>
                </c:pt>
                <c:pt idx="13">
                  <c:v>16160000</c:v>
                </c:pt>
                <c:pt idx="14">
                  <c:v>16639200</c:v>
                </c:pt>
                <c:pt idx="15">
                  <c:v>16438400</c:v>
                </c:pt>
                <c:pt idx="16">
                  <c:v>17004000</c:v>
                </c:pt>
                <c:pt idx="17">
                  <c:v>17072000</c:v>
                </c:pt>
                <c:pt idx="18">
                  <c:v>16580000</c:v>
                </c:pt>
                <c:pt idx="19">
                  <c:v>15780000</c:v>
                </c:pt>
              </c:numCache>
            </c:numRef>
          </c:yVal>
          <c:smooth val="1"/>
        </c:ser>
        <c:dLbls/>
        <c:axId val="62641280"/>
        <c:axId val="62642816"/>
      </c:scatterChart>
      <c:valAx>
        <c:axId val="62641280"/>
        <c:scaling>
          <c:orientation val="minMax"/>
        </c:scaling>
        <c:axPos val="b"/>
        <c:numFmt formatCode="General" sourceLinked="1"/>
        <c:tickLblPos val="nextTo"/>
        <c:crossAx val="62642816"/>
        <c:crosses val="autoZero"/>
        <c:crossBetween val="midCat"/>
      </c:valAx>
      <c:valAx>
        <c:axId val="62642816"/>
        <c:scaling>
          <c:orientation val="minMax"/>
        </c:scaling>
        <c:axPos val="l"/>
        <c:majorGridlines/>
        <c:numFmt formatCode="General" sourceLinked="1"/>
        <c:tickLblPos val="nextTo"/>
        <c:crossAx val="62641280"/>
        <c:crosses val="autoZero"/>
        <c:crossBetween val="midCat"/>
      </c:valAx>
    </c:plotArea>
    <c:legend>
      <c:legendPos val="b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ser>
          <c:idx val="0"/>
          <c:order val="0"/>
          <c:tx>
            <c:v>Доступний ринок</c:v>
          </c:tx>
          <c:xVal>
            <c:numRef>
              <c:f>'Прогноз потенційного ринку'!$A$76:$A$95</c:f>
              <c:numCache>
                <c:formatCode>General</c:formatCode>
                <c:ptCount val="2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</c:numCache>
            </c:numRef>
          </c:xVal>
          <c:yVal>
            <c:numRef>
              <c:f>'Прогноз потенційного ринку'!$H$76:$H$95</c:f>
              <c:numCache>
                <c:formatCode>General</c:formatCode>
                <c:ptCount val="20"/>
                <c:pt idx="0">
                  <c:v>27663.88800000001</c:v>
                </c:pt>
                <c:pt idx="1">
                  <c:v>24726.445800000005</c:v>
                </c:pt>
                <c:pt idx="2">
                  <c:v>26194.551599999992</c:v>
                </c:pt>
                <c:pt idx="3">
                  <c:v>23207.88540000001</c:v>
                </c:pt>
                <c:pt idx="4">
                  <c:v>24391.722600000001</c:v>
                </c:pt>
                <c:pt idx="5">
                  <c:v>24504.937800000007</c:v>
                </c:pt>
                <c:pt idx="6">
                  <c:v>25500.493200000004</c:v>
                </c:pt>
                <c:pt idx="7">
                  <c:v>26156.403000000009</c:v>
                </c:pt>
                <c:pt idx="8">
                  <c:v>25701.081000000009</c:v>
                </c:pt>
                <c:pt idx="9">
                  <c:v>24642.764999999999</c:v>
                </c:pt>
                <c:pt idx="10">
                  <c:v>25344.207000000009</c:v>
                </c:pt>
                <c:pt idx="11">
                  <c:v>25112.854199999998</c:v>
                </c:pt>
                <c:pt idx="12">
                  <c:v>25563.25380000001</c:v>
                </c:pt>
                <c:pt idx="13">
                  <c:v>24858.12</c:v>
                </c:pt>
                <c:pt idx="14">
                  <c:v>25595.249400000004</c:v>
                </c:pt>
                <c:pt idx="15">
                  <c:v>25286.368800000011</c:v>
                </c:pt>
                <c:pt idx="16">
                  <c:v>26156.403000000009</c:v>
                </c:pt>
                <c:pt idx="17">
                  <c:v>26261.003999999997</c:v>
                </c:pt>
                <c:pt idx="18">
                  <c:v>25504.185000000001</c:v>
                </c:pt>
                <c:pt idx="19">
                  <c:v>24273.58500000001</c:v>
                </c:pt>
              </c:numCache>
            </c:numRef>
          </c:yVal>
          <c:smooth val="1"/>
        </c:ser>
        <c:dLbls/>
        <c:axId val="78064640"/>
        <c:axId val="79368960"/>
      </c:scatterChart>
      <c:valAx>
        <c:axId val="78064640"/>
        <c:scaling>
          <c:orientation val="minMax"/>
        </c:scaling>
        <c:axPos val="b"/>
        <c:numFmt formatCode="General" sourceLinked="1"/>
        <c:tickLblPos val="nextTo"/>
        <c:crossAx val="79368960"/>
        <c:crosses val="autoZero"/>
        <c:crossBetween val="midCat"/>
      </c:valAx>
      <c:valAx>
        <c:axId val="79368960"/>
        <c:scaling>
          <c:orientation val="minMax"/>
        </c:scaling>
        <c:axPos val="l"/>
        <c:majorGridlines/>
        <c:numFmt formatCode="General" sourceLinked="1"/>
        <c:tickLblPos val="nextTo"/>
        <c:crossAx val="78064640"/>
        <c:crosses val="autoZero"/>
        <c:crossBetween val="midCat"/>
      </c:valAx>
    </c:plotArea>
    <c:legend>
      <c:legendPos val="b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2013-08-08T10:02:00Z</dcterms:created>
  <dcterms:modified xsi:type="dcterms:W3CDTF">2013-08-08T10:02:00Z</dcterms:modified>
</cp:coreProperties>
</file>