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4A" w:rsidRPr="006F3D3A" w:rsidRDefault="009E4A4A" w:rsidP="009E4A4A">
      <w:pPr>
        <w:pStyle w:val="rvps2"/>
        <w:spacing w:line="360" w:lineRule="auto"/>
        <w:ind w:firstLine="708"/>
        <w:jc w:val="both"/>
        <w:rPr>
          <w:b/>
          <w:sz w:val="28"/>
          <w:szCs w:val="28"/>
          <w:lang w:val="uk-UA"/>
        </w:rPr>
      </w:pPr>
      <w:r>
        <w:rPr>
          <w:noProof/>
        </w:rPr>
        <w:pict>
          <v:shapetype id="_x0000_t32" coordsize="21600,21600" o:spt="32" o:oned="t" path="m,l21600,21600e" filled="f">
            <v:path arrowok="t" fillok="f" o:connecttype="none"/>
            <o:lock v:ext="edit" shapetype="t"/>
          </v:shapetype>
          <v:shape id="AutoShape 7" o:spid="_x0000_s1026" type="#_x0000_t32" style="position:absolute;left:0;text-align:left;margin-left:-.75pt;margin-top:49.05pt;width:47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">
            <v:shadow on="t" opacity=".5" offset="6pt,6pt"/>
          </v:shape>
        </w:pict>
      </w:r>
      <w:r w:rsidRPr="006F3D3A">
        <w:rPr>
          <w:b/>
          <w:sz w:val="28"/>
          <w:szCs w:val="28"/>
          <w:lang w:val="uk-UA"/>
        </w:rPr>
        <w:t>1.5. Прогнозна оцінка вартості проекту. Напрями використання інвестицій.</w:t>
      </w:r>
    </w:p>
    <w:p w:rsidR="009E4A4A" w:rsidRDefault="009E4A4A" w:rsidP="009E4A4A">
      <w:pPr>
        <w:pStyle w:val="rvps2"/>
        <w:spacing w:before="0" w:beforeAutospacing="0" w:after="0" w:afterAutospacing="0" w:line="360" w:lineRule="auto"/>
        <w:ind w:firstLine="720"/>
        <w:jc w:val="both"/>
        <w:rPr>
          <w:rStyle w:val="rvts0"/>
          <w:sz w:val="28"/>
          <w:szCs w:val="28"/>
          <w:lang w:val="uk-UA"/>
        </w:rPr>
      </w:pP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rStyle w:val="rvts0"/>
          <w:sz w:val="26"/>
          <w:szCs w:val="26"/>
          <w:lang w:val="uk-UA"/>
        </w:rPr>
        <w:t xml:space="preserve">Загальна вартість реалізації проекту створення </w:t>
      </w:r>
      <w:r w:rsidRPr="004F2237">
        <w:rPr>
          <w:sz w:val="26"/>
          <w:szCs w:val="26"/>
          <w:lang w:val="uk-UA"/>
        </w:rPr>
        <w:t>Міжнародного реабілітаційного містечка «</w:t>
      </w:r>
      <w:proofErr w:type="spellStart"/>
      <w:r w:rsidRPr="004F2237">
        <w:rPr>
          <w:sz w:val="26"/>
          <w:szCs w:val="26"/>
          <w:lang w:val="uk-UA"/>
        </w:rPr>
        <w:t>ІnterMedical-EcoCity</w:t>
      </w:r>
      <w:proofErr w:type="spellEnd"/>
      <w:r w:rsidRPr="004F2237">
        <w:rPr>
          <w:sz w:val="26"/>
          <w:szCs w:val="26"/>
          <w:lang w:val="uk-UA"/>
        </w:rPr>
        <w:t>» є сукупною вартістю усіх складових проекту: оздоровчої зони; оздоровчо-рекреаційної; парково-громадської та житлової забудови.</w:t>
      </w:r>
    </w:p>
    <w:p w:rsidR="009E4A4A" w:rsidRPr="004F2237" w:rsidRDefault="009E4A4A" w:rsidP="009E4A4A">
      <w:pPr>
        <w:pStyle w:val="rvps2"/>
        <w:spacing w:before="0" w:beforeAutospacing="0" w:after="0" w:afterAutospacing="0" w:line="360" w:lineRule="auto"/>
        <w:ind w:firstLine="720"/>
        <w:jc w:val="center"/>
        <w:rPr>
          <w:i/>
          <w:sz w:val="26"/>
          <w:szCs w:val="26"/>
          <w:lang w:val="uk-UA"/>
        </w:rPr>
      </w:pPr>
    </w:p>
    <w:p w:rsidR="009E4A4A" w:rsidRPr="004F2237" w:rsidRDefault="009E4A4A" w:rsidP="009E4A4A">
      <w:pPr>
        <w:pStyle w:val="rvps2"/>
        <w:spacing w:before="0" w:beforeAutospacing="0" w:after="0" w:afterAutospacing="0" w:line="360" w:lineRule="auto"/>
        <w:ind w:firstLine="720"/>
        <w:jc w:val="center"/>
        <w:rPr>
          <w:i/>
          <w:sz w:val="26"/>
          <w:szCs w:val="26"/>
          <w:lang w:val="uk-UA"/>
        </w:rPr>
      </w:pPr>
      <w:r w:rsidRPr="004F2237">
        <w:rPr>
          <w:i/>
          <w:sz w:val="26"/>
          <w:szCs w:val="26"/>
          <w:lang w:val="uk-UA"/>
        </w:rPr>
        <w:t>Оздоровча зона</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Основною та першочерговою для </w:t>
      </w:r>
      <w:r w:rsidRPr="004F2237">
        <w:rPr>
          <w:rStyle w:val="rvts0"/>
          <w:sz w:val="26"/>
          <w:szCs w:val="26"/>
          <w:lang w:val="uk-UA"/>
        </w:rPr>
        <w:t xml:space="preserve">проекту </w:t>
      </w:r>
      <w:r w:rsidRPr="004F2237">
        <w:rPr>
          <w:sz w:val="26"/>
          <w:szCs w:val="26"/>
          <w:lang w:val="uk-UA"/>
        </w:rPr>
        <w:t>Міжнародного реабілітаційного містечка «</w:t>
      </w:r>
      <w:proofErr w:type="spellStart"/>
      <w:r w:rsidRPr="004F2237">
        <w:rPr>
          <w:sz w:val="26"/>
          <w:szCs w:val="26"/>
          <w:lang w:val="uk-UA"/>
        </w:rPr>
        <w:t>ІnterMedical-EcoCity</w:t>
      </w:r>
      <w:proofErr w:type="spellEnd"/>
      <w:r w:rsidRPr="004F2237">
        <w:rPr>
          <w:sz w:val="26"/>
          <w:szCs w:val="26"/>
          <w:lang w:val="uk-UA"/>
        </w:rPr>
        <w:t xml:space="preserve">» є оздоровча зона – зона Міжнародної реабілітаційної клініки. Загальна вартість реалізації проекту створення клініки представлена в таблиці </w:t>
      </w:r>
      <w:r>
        <w:rPr>
          <w:sz w:val="26"/>
          <w:szCs w:val="26"/>
          <w:lang w:val="uk-UA"/>
        </w:rPr>
        <w:t>1.</w:t>
      </w:r>
      <w:r w:rsidRPr="004F2237">
        <w:rPr>
          <w:sz w:val="26"/>
          <w:szCs w:val="26"/>
          <w:lang w:val="uk-UA"/>
        </w:rPr>
        <w:t>5</w:t>
      </w:r>
      <w:r>
        <w:rPr>
          <w:sz w:val="26"/>
          <w:szCs w:val="26"/>
          <w:lang w:val="uk-UA"/>
        </w:rPr>
        <w:t>.</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Таблиця </w:t>
      </w:r>
      <w:r>
        <w:rPr>
          <w:sz w:val="26"/>
          <w:szCs w:val="26"/>
          <w:lang w:val="uk-UA"/>
        </w:rPr>
        <w:t>1.</w:t>
      </w:r>
      <w:r w:rsidRPr="004F2237">
        <w:rPr>
          <w:sz w:val="26"/>
          <w:szCs w:val="26"/>
          <w:lang w:val="uk-UA"/>
        </w:rPr>
        <w:t>5 – Загальна вартість створення Міжнародної реабілітаційної клініки (І черга будівництва)</w:t>
      </w:r>
    </w:p>
    <w:tbl>
      <w:tblPr>
        <w:tblW w:w="5000" w:type="pct"/>
        <w:tblLook w:val="0000"/>
      </w:tblPr>
      <w:tblGrid>
        <w:gridCol w:w="5163"/>
        <w:gridCol w:w="1516"/>
        <w:gridCol w:w="1351"/>
        <w:gridCol w:w="1541"/>
      </w:tblGrid>
      <w:tr w:rsidR="009E4A4A" w:rsidRPr="00C70E2C" w:rsidTr="003E2C2D">
        <w:trPr>
          <w:trHeight w:val="1171"/>
          <w:tblHeader/>
        </w:trPr>
        <w:tc>
          <w:tcPr>
            <w:tcW w:w="2697" w:type="pct"/>
            <w:tcBorders>
              <w:top w:val="single" w:sz="8" w:space="0" w:color="auto"/>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i/>
                <w:iCs/>
                <w:color w:val="000000"/>
                <w:sz w:val="24"/>
                <w:szCs w:val="24"/>
                <w:lang w:val="uk-UA"/>
              </w:rPr>
            </w:pPr>
            <w:r w:rsidRPr="00C70E2C">
              <w:rPr>
                <w:rFonts w:ascii="Times New Roman" w:hAnsi="Times New Roman"/>
                <w:i/>
                <w:iCs/>
                <w:color w:val="000000"/>
                <w:sz w:val="24"/>
                <w:szCs w:val="24"/>
                <w:lang w:val="uk-UA"/>
              </w:rPr>
              <w:t>Перелік видатків</w:t>
            </w:r>
          </w:p>
        </w:tc>
        <w:tc>
          <w:tcPr>
            <w:tcW w:w="792" w:type="pct"/>
            <w:tcBorders>
              <w:top w:val="single" w:sz="8" w:space="0" w:color="auto"/>
              <w:left w:val="nil"/>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i/>
                <w:iCs/>
                <w:color w:val="000000"/>
                <w:sz w:val="24"/>
                <w:szCs w:val="24"/>
                <w:lang w:val="uk-UA"/>
              </w:rPr>
            </w:pPr>
            <w:r w:rsidRPr="00C70E2C">
              <w:rPr>
                <w:rFonts w:ascii="Times New Roman" w:hAnsi="Times New Roman"/>
                <w:i/>
                <w:iCs/>
                <w:color w:val="000000"/>
                <w:sz w:val="24"/>
                <w:szCs w:val="24"/>
                <w:lang w:val="uk-UA"/>
              </w:rPr>
              <w:t>Натуральні показники, од.</w:t>
            </w:r>
          </w:p>
        </w:tc>
        <w:tc>
          <w:tcPr>
            <w:tcW w:w="706" w:type="pct"/>
            <w:tcBorders>
              <w:top w:val="single" w:sz="8" w:space="0" w:color="auto"/>
              <w:left w:val="nil"/>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i/>
                <w:iCs/>
                <w:color w:val="000000"/>
                <w:sz w:val="24"/>
                <w:szCs w:val="24"/>
                <w:lang w:val="uk-UA"/>
              </w:rPr>
            </w:pPr>
            <w:r w:rsidRPr="00C70E2C">
              <w:rPr>
                <w:rFonts w:ascii="Times New Roman" w:hAnsi="Times New Roman"/>
                <w:i/>
                <w:iCs/>
                <w:color w:val="000000"/>
                <w:sz w:val="24"/>
                <w:szCs w:val="24"/>
                <w:lang w:val="uk-UA"/>
              </w:rPr>
              <w:t>Вартість одиниці виміру, тис. грн.</w:t>
            </w:r>
          </w:p>
        </w:tc>
        <w:tc>
          <w:tcPr>
            <w:tcW w:w="805" w:type="pct"/>
            <w:tcBorders>
              <w:top w:val="single" w:sz="8" w:space="0" w:color="auto"/>
              <w:left w:val="nil"/>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i/>
                <w:iCs/>
                <w:color w:val="000000"/>
                <w:sz w:val="24"/>
                <w:szCs w:val="24"/>
                <w:lang w:val="uk-UA"/>
              </w:rPr>
            </w:pPr>
            <w:r w:rsidRPr="00C70E2C">
              <w:rPr>
                <w:rFonts w:ascii="Times New Roman" w:hAnsi="Times New Roman"/>
                <w:i/>
                <w:iCs/>
                <w:color w:val="000000"/>
                <w:sz w:val="24"/>
                <w:szCs w:val="24"/>
                <w:lang w:val="uk-UA"/>
              </w:rPr>
              <w:t>Сума витрат, тис. грн.</w:t>
            </w:r>
          </w:p>
        </w:tc>
      </w:tr>
      <w:tr w:rsidR="009E4A4A" w:rsidRPr="00C70E2C" w:rsidTr="003E2C2D">
        <w:trPr>
          <w:trHeight w:val="64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color w:val="000000"/>
                <w:sz w:val="24"/>
                <w:szCs w:val="24"/>
                <w:lang w:val="uk-UA"/>
              </w:rPr>
            </w:pPr>
            <w:r w:rsidRPr="00C70E2C">
              <w:rPr>
                <w:rFonts w:ascii="Times New Roman" w:hAnsi="Times New Roman"/>
                <w:color w:val="000000"/>
                <w:sz w:val="24"/>
                <w:szCs w:val="24"/>
                <w:lang w:val="uk-UA"/>
              </w:rPr>
              <w:t>Передінвестиційні дослідження та розробка проекту, в т.ч.:</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маркетингові дослідження</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9 ,00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9,00</w:t>
            </w:r>
          </w:p>
        </w:tc>
      </w:tr>
      <w:tr w:rsidR="009E4A4A" w:rsidRPr="00C70E2C" w:rsidTr="003E2C2D">
        <w:trPr>
          <w:trHeight w:val="64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розробка техніко-економічного обґрунтування</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7 ,00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7,00</w:t>
            </w:r>
          </w:p>
        </w:tc>
      </w:tr>
      <w:tr w:rsidR="009E4A4A" w:rsidRPr="00C70E2C" w:rsidTr="003E2C2D">
        <w:trPr>
          <w:trHeight w:val="558"/>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xml:space="preserve">-      </w:t>
            </w:r>
            <w:r w:rsidRPr="00C70E2C">
              <w:rPr>
                <w:rFonts w:ascii="Times New Roman" w:hAnsi="Times New Roman"/>
                <w:sz w:val="24"/>
                <w:szCs w:val="24"/>
                <w:lang w:val="uk-UA"/>
              </w:rPr>
              <w:t>проведення конкурсних торгів щодо визначення генерального проектувальника</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5,00</w:t>
            </w:r>
          </w:p>
        </w:tc>
      </w:tr>
      <w:tr w:rsidR="009E4A4A" w:rsidRPr="00C70E2C" w:rsidTr="003E2C2D">
        <w:trPr>
          <w:trHeight w:val="411"/>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xml:space="preserve">-      розробка </w:t>
            </w:r>
            <w:proofErr w:type="spellStart"/>
            <w:r w:rsidRPr="00C70E2C">
              <w:rPr>
                <w:rFonts w:ascii="Times New Roman" w:hAnsi="Times New Roman"/>
                <w:color w:val="000000"/>
                <w:sz w:val="24"/>
                <w:szCs w:val="24"/>
                <w:lang w:val="uk-UA"/>
              </w:rPr>
              <w:t>передпроектних</w:t>
            </w:r>
            <w:proofErr w:type="spellEnd"/>
            <w:r w:rsidRPr="00C70E2C">
              <w:rPr>
                <w:rFonts w:ascii="Times New Roman" w:hAnsi="Times New Roman"/>
                <w:color w:val="000000"/>
                <w:sz w:val="24"/>
                <w:szCs w:val="24"/>
                <w:lang w:val="uk-UA"/>
              </w:rPr>
              <w:t xml:space="preserve"> пропозицій</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3 варіанти</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30,00</w:t>
            </w:r>
          </w:p>
        </w:tc>
      </w:tr>
      <w:tr w:rsidR="009E4A4A" w:rsidRPr="00C70E2C" w:rsidTr="003E2C2D">
        <w:trPr>
          <w:trHeight w:val="64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отримання містобудівних умов та обмежень</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 xml:space="preserve">1 </w:t>
            </w: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18</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18,00</w:t>
            </w:r>
          </w:p>
        </w:tc>
      </w:tr>
      <w:tr w:rsidR="009E4A4A" w:rsidRPr="00C70E2C" w:rsidTr="003E2C2D">
        <w:trPr>
          <w:trHeight w:val="64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збір технічних умов на підключення інженерних комунікацій</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 xml:space="preserve">1 </w:t>
            </w: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xml:space="preserve">-      </w:t>
            </w:r>
            <w:proofErr w:type="spellStart"/>
            <w:r w:rsidRPr="00C70E2C">
              <w:rPr>
                <w:rFonts w:ascii="Times New Roman" w:hAnsi="Times New Roman"/>
                <w:color w:val="000000"/>
                <w:sz w:val="24"/>
                <w:szCs w:val="24"/>
                <w:lang w:val="uk-UA"/>
              </w:rPr>
              <w:t>топогеодезичні</w:t>
            </w:r>
            <w:proofErr w:type="spellEnd"/>
            <w:r w:rsidRPr="00C70E2C">
              <w:rPr>
                <w:rFonts w:ascii="Times New Roman" w:hAnsi="Times New Roman"/>
                <w:color w:val="000000"/>
                <w:sz w:val="24"/>
                <w:szCs w:val="24"/>
                <w:lang w:val="uk-UA"/>
              </w:rPr>
              <w:t xml:space="preserve"> вишукування</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10 га</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130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130,00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геологічні вишукування</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10 га</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83</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83,00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розробка проекту стадія «Ескізний проект»</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 xml:space="preserve">1 </w:t>
            </w: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25</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25,00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розробка проекту стадія «Проект»</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 xml:space="preserve">1 </w:t>
            </w: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5 005,00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5005,00</w:t>
            </w:r>
          </w:p>
        </w:tc>
      </w:tr>
      <w:tr w:rsidR="009E4A4A" w:rsidRPr="00C70E2C" w:rsidTr="003E2C2D">
        <w:trPr>
          <w:trHeight w:val="64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lastRenderedPageBreak/>
              <w:t>-      проведення комплексної державної експертизи стадії «Проект»</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275</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275,00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розробка проекту стадія «Робоча документація»</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 xml:space="preserve">1 </w:t>
            </w: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4 095,00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4095,00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Забезпечення земельною ділянкою, в т.ч.:</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r>
      <w:tr w:rsidR="009E4A4A" w:rsidRPr="00C70E2C" w:rsidTr="003E2C2D">
        <w:trPr>
          <w:trHeight w:val="822"/>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розробка технічної документації щодо відведення земельної ділянки площею ~ 10 га</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 xml:space="preserve">1 </w:t>
            </w: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100,00</w:t>
            </w:r>
          </w:p>
        </w:tc>
      </w:tr>
      <w:tr w:rsidR="009E4A4A" w:rsidRPr="00C70E2C" w:rsidTr="003E2C2D">
        <w:trPr>
          <w:trHeight w:val="282"/>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color w:val="000000"/>
                <w:sz w:val="24"/>
                <w:szCs w:val="24"/>
                <w:lang w:val="uk-UA"/>
              </w:rPr>
            </w:pPr>
            <w:r w:rsidRPr="00C70E2C">
              <w:rPr>
                <w:rFonts w:ascii="Times New Roman" w:hAnsi="Times New Roman"/>
                <w:color w:val="000000"/>
                <w:sz w:val="24"/>
                <w:szCs w:val="24"/>
                <w:lang w:val="uk-UA"/>
              </w:rPr>
              <w:t>Будівельно-монтажні роботи в т.ч.:</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r>
      <w:tr w:rsidR="009E4A4A" w:rsidRPr="00C70E2C" w:rsidTr="003E2C2D">
        <w:trPr>
          <w:trHeight w:val="1094"/>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color w:val="000000"/>
                <w:sz w:val="24"/>
                <w:szCs w:val="24"/>
                <w:lang w:val="uk-UA"/>
              </w:rPr>
            </w:pPr>
            <w:r w:rsidRPr="00C70E2C">
              <w:rPr>
                <w:rFonts w:ascii="Times New Roman" w:hAnsi="Times New Roman"/>
                <w:color w:val="000000"/>
                <w:sz w:val="24"/>
                <w:szCs w:val="24"/>
                <w:lang w:val="uk-UA"/>
              </w:rPr>
              <w:t xml:space="preserve">комплекс будівель та споруд з влаштуванням інженерних мереж Херсонського Реабілітаційного Центру згідно з листом </w:t>
            </w:r>
            <w:proofErr w:type="spellStart"/>
            <w:r w:rsidRPr="00C70E2C">
              <w:rPr>
                <w:rFonts w:ascii="Times New Roman" w:hAnsi="Times New Roman"/>
                <w:color w:val="000000"/>
                <w:sz w:val="24"/>
                <w:szCs w:val="24"/>
                <w:lang w:val="uk-UA"/>
              </w:rPr>
              <w:t>Мінрегіонбуда</w:t>
            </w:r>
            <w:proofErr w:type="spellEnd"/>
            <w:r w:rsidRPr="00C70E2C">
              <w:rPr>
                <w:rFonts w:ascii="Times New Roman" w:hAnsi="Times New Roman"/>
                <w:color w:val="000000"/>
                <w:sz w:val="24"/>
                <w:szCs w:val="24"/>
                <w:lang w:val="uk-UA"/>
              </w:rPr>
              <w:t xml:space="preserve"> від 17.07.2012 № 7/15-11715</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33 000 м</w:t>
            </w:r>
            <w:r w:rsidRPr="00C70E2C">
              <w:rPr>
                <w:rFonts w:ascii="Times New Roman" w:hAnsi="Times New Roman"/>
                <w:sz w:val="24"/>
                <w:szCs w:val="24"/>
                <w:vertAlign w:val="superscript"/>
                <w:lang w:val="uk-UA"/>
              </w:rPr>
              <w:t>2</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9,041</w:t>
            </w:r>
          </w:p>
        </w:tc>
        <w:tc>
          <w:tcPr>
            <w:tcW w:w="805" w:type="pct"/>
            <w:tcBorders>
              <w:top w:val="nil"/>
              <w:left w:val="nil"/>
              <w:bottom w:val="single" w:sz="8" w:space="0" w:color="auto"/>
              <w:right w:val="single" w:sz="8" w:space="0" w:color="auto"/>
            </w:tcBorders>
            <w:noWrap/>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298589,54</w:t>
            </w:r>
          </w:p>
        </w:tc>
      </w:tr>
      <w:tr w:rsidR="009E4A4A" w:rsidRPr="00C70E2C" w:rsidTr="003E2C2D">
        <w:trPr>
          <w:trHeight w:val="322"/>
        </w:trPr>
        <w:tc>
          <w:tcPr>
            <w:tcW w:w="2697" w:type="pct"/>
            <w:vMerge w:val="restar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color w:val="000000"/>
                <w:sz w:val="24"/>
                <w:szCs w:val="24"/>
                <w:lang w:val="uk-UA"/>
              </w:rPr>
            </w:pPr>
            <w:r w:rsidRPr="00C70E2C">
              <w:rPr>
                <w:rFonts w:ascii="Times New Roman" w:hAnsi="Times New Roman"/>
                <w:color w:val="000000"/>
                <w:sz w:val="24"/>
                <w:szCs w:val="24"/>
                <w:lang w:val="uk-UA"/>
              </w:rPr>
              <w:t>Устаткування, меблі, інвентар тощо в т.ч.</w:t>
            </w:r>
          </w:p>
        </w:tc>
        <w:tc>
          <w:tcPr>
            <w:tcW w:w="792" w:type="pct"/>
            <w:vMerge w:val="restar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706" w:type="pct"/>
            <w:vMerge w:val="restar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805" w:type="pct"/>
            <w:vMerge w:val="restar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r>
      <w:tr w:rsidR="009E4A4A" w:rsidRPr="00C70E2C" w:rsidTr="003E2C2D">
        <w:trPr>
          <w:trHeight w:val="276"/>
        </w:trPr>
        <w:tc>
          <w:tcPr>
            <w:tcW w:w="2697" w:type="pct"/>
            <w:vMerge/>
            <w:tcBorders>
              <w:top w:val="nil"/>
              <w:left w:val="single" w:sz="8" w:space="0" w:color="auto"/>
              <w:bottom w:val="single" w:sz="8" w:space="0" w:color="auto"/>
              <w:right w:val="single" w:sz="8" w:space="0" w:color="auto"/>
            </w:tcBorders>
          </w:tcPr>
          <w:p w:rsidR="009E4A4A" w:rsidRPr="00C70E2C" w:rsidRDefault="009E4A4A" w:rsidP="003E2C2D">
            <w:pPr>
              <w:spacing w:after="0" w:line="240" w:lineRule="auto"/>
              <w:rPr>
                <w:rFonts w:ascii="Times New Roman" w:hAnsi="Times New Roman"/>
                <w:color w:val="000000"/>
                <w:sz w:val="24"/>
                <w:szCs w:val="24"/>
                <w:lang w:val="uk-UA"/>
              </w:rPr>
            </w:pPr>
          </w:p>
        </w:tc>
        <w:tc>
          <w:tcPr>
            <w:tcW w:w="792" w:type="pct"/>
            <w:vMerge/>
            <w:tcBorders>
              <w:top w:val="nil"/>
              <w:left w:val="single" w:sz="8" w:space="0" w:color="auto"/>
              <w:bottom w:val="single" w:sz="8" w:space="0" w:color="auto"/>
              <w:right w:val="single" w:sz="8" w:space="0" w:color="auto"/>
            </w:tcBorders>
          </w:tcPr>
          <w:p w:rsidR="009E4A4A" w:rsidRPr="00C70E2C" w:rsidRDefault="009E4A4A" w:rsidP="003E2C2D">
            <w:pPr>
              <w:spacing w:after="0" w:line="240" w:lineRule="auto"/>
              <w:jc w:val="center"/>
              <w:rPr>
                <w:rFonts w:ascii="Times New Roman" w:hAnsi="Times New Roman"/>
                <w:sz w:val="24"/>
                <w:szCs w:val="24"/>
                <w:lang w:val="uk-UA"/>
              </w:rPr>
            </w:pPr>
          </w:p>
        </w:tc>
        <w:tc>
          <w:tcPr>
            <w:tcW w:w="706" w:type="pct"/>
            <w:vMerge/>
            <w:tcBorders>
              <w:top w:val="nil"/>
              <w:left w:val="single" w:sz="8" w:space="0" w:color="auto"/>
              <w:bottom w:val="single" w:sz="8" w:space="0" w:color="auto"/>
              <w:right w:val="single" w:sz="8" w:space="0" w:color="auto"/>
            </w:tcBorders>
          </w:tcPr>
          <w:p w:rsidR="009E4A4A" w:rsidRPr="00C70E2C" w:rsidRDefault="009E4A4A" w:rsidP="003E2C2D">
            <w:pPr>
              <w:spacing w:after="0" w:line="240" w:lineRule="auto"/>
              <w:jc w:val="center"/>
              <w:rPr>
                <w:rFonts w:ascii="Times New Roman" w:hAnsi="Times New Roman"/>
                <w:sz w:val="24"/>
                <w:szCs w:val="24"/>
                <w:lang w:val="uk-UA"/>
              </w:rPr>
            </w:pPr>
          </w:p>
        </w:tc>
        <w:tc>
          <w:tcPr>
            <w:tcW w:w="805" w:type="pct"/>
            <w:vMerge/>
            <w:tcBorders>
              <w:top w:val="nil"/>
              <w:left w:val="single" w:sz="8" w:space="0" w:color="auto"/>
              <w:bottom w:val="single" w:sz="8" w:space="0" w:color="auto"/>
              <w:right w:val="single" w:sz="8" w:space="0" w:color="auto"/>
            </w:tcBorders>
          </w:tcPr>
          <w:p w:rsidR="009E4A4A" w:rsidRPr="00C70E2C" w:rsidRDefault="009E4A4A" w:rsidP="003E2C2D">
            <w:pPr>
              <w:spacing w:after="0" w:line="240" w:lineRule="auto"/>
              <w:jc w:val="center"/>
              <w:rPr>
                <w:rFonts w:ascii="Times New Roman" w:hAnsi="Times New Roman"/>
                <w:sz w:val="24"/>
                <w:szCs w:val="24"/>
                <w:lang w:val="uk-UA"/>
              </w:rPr>
            </w:pPr>
          </w:p>
        </w:tc>
      </w:tr>
      <w:tr w:rsidR="009E4A4A" w:rsidRPr="00C70E2C" w:rsidTr="003E2C2D">
        <w:trPr>
          <w:trHeight w:val="34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обладнання для кафе, столової</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1 400,00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1400,00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меблі, інвентар</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31 550,00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31550,00</w:t>
            </w:r>
          </w:p>
        </w:tc>
      </w:tr>
      <w:tr w:rsidR="009E4A4A" w:rsidRPr="00C70E2C" w:rsidTr="003E2C2D">
        <w:trPr>
          <w:trHeight w:val="133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xml:space="preserve">-      обладнання для безперебійного електропостачання, цифрового телебачення, зв’язку, </w:t>
            </w:r>
            <w:proofErr w:type="spellStart"/>
            <w:r w:rsidRPr="00C70E2C">
              <w:rPr>
                <w:rFonts w:ascii="Times New Roman" w:hAnsi="Times New Roman"/>
                <w:color w:val="000000"/>
                <w:sz w:val="24"/>
                <w:szCs w:val="24"/>
                <w:lang w:val="uk-UA"/>
              </w:rPr>
              <w:t>відеоспостереження</w:t>
            </w:r>
            <w:proofErr w:type="spellEnd"/>
            <w:r w:rsidRPr="00C70E2C">
              <w:rPr>
                <w:rFonts w:ascii="Times New Roman" w:hAnsi="Times New Roman"/>
                <w:color w:val="000000"/>
                <w:sz w:val="24"/>
                <w:szCs w:val="24"/>
                <w:lang w:val="uk-UA"/>
              </w:rPr>
              <w:t>, мережеве обладнання</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4 950,00</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4950,00</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ind w:firstLineChars="257" w:firstLine="617"/>
              <w:rPr>
                <w:rFonts w:ascii="Times New Roman" w:hAnsi="Times New Roman"/>
                <w:color w:val="000000"/>
                <w:sz w:val="24"/>
                <w:szCs w:val="24"/>
                <w:lang w:val="uk-UA"/>
              </w:rPr>
            </w:pPr>
            <w:r w:rsidRPr="00C70E2C">
              <w:rPr>
                <w:rFonts w:ascii="Times New Roman" w:hAnsi="Times New Roman"/>
                <w:color w:val="000000"/>
                <w:sz w:val="24"/>
                <w:szCs w:val="24"/>
                <w:lang w:val="uk-UA"/>
              </w:rPr>
              <w:t>-      медичне обладнання</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roofErr w:type="spellStart"/>
            <w:r w:rsidRPr="00C70E2C">
              <w:rPr>
                <w:rFonts w:ascii="Times New Roman" w:hAnsi="Times New Roman"/>
                <w:sz w:val="24"/>
                <w:szCs w:val="24"/>
                <w:lang w:val="uk-UA"/>
              </w:rPr>
              <w:t>компл</w:t>
            </w:r>
            <w:proofErr w:type="spellEnd"/>
            <w:r w:rsidRPr="00C70E2C">
              <w:rPr>
                <w:rFonts w:ascii="Times New Roman" w:hAnsi="Times New Roman"/>
                <w:sz w:val="24"/>
                <w:szCs w:val="24"/>
                <w:lang w:val="uk-UA"/>
              </w:rPr>
              <w:t>.</w:t>
            </w: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40180,15</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40180,15</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color w:val="000000"/>
                <w:sz w:val="24"/>
                <w:szCs w:val="24"/>
                <w:lang w:val="uk-UA"/>
              </w:rPr>
            </w:pPr>
            <w:r w:rsidRPr="00C70E2C">
              <w:rPr>
                <w:rFonts w:ascii="Times New Roman" w:hAnsi="Times New Roman"/>
                <w:color w:val="000000"/>
                <w:sz w:val="24"/>
                <w:szCs w:val="24"/>
                <w:lang w:val="uk-UA"/>
              </w:rPr>
              <w:t>Пусконалагоджувальні роботи</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1205,4</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1205,40</w:t>
            </w:r>
          </w:p>
        </w:tc>
      </w:tr>
      <w:tr w:rsidR="009E4A4A" w:rsidRPr="00C70E2C" w:rsidTr="003E2C2D">
        <w:trPr>
          <w:trHeight w:val="645"/>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color w:val="000000"/>
                <w:sz w:val="24"/>
                <w:szCs w:val="24"/>
                <w:lang w:val="uk-UA"/>
              </w:rPr>
            </w:pPr>
            <w:r w:rsidRPr="00C70E2C">
              <w:rPr>
                <w:rFonts w:ascii="Times New Roman" w:hAnsi="Times New Roman"/>
                <w:color w:val="000000"/>
                <w:sz w:val="24"/>
                <w:szCs w:val="24"/>
                <w:lang w:val="uk-UA"/>
              </w:rPr>
              <w:t>Адміністративні витрати (виконання функцій замовника 2,5 %)</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color w:val="000000"/>
                <w:sz w:val="24"/>
                <w:szCs w:val="24"/>
                <w:lang w:val="uk-UA"/>
              </w:rPr>
            </w:pP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color w:val="000000"/>
                <w:sz w:val="24"/>
                <w:szCs w:val="24"/>
                <w:lang w:val="uk-UA"/>
              </w:rPr>
            </w:pPr>
            <w:r w:rsidRPr="00C70E2C">
              <w:rPr>
                <w:rFonts w:ascii="Times New Roman" w:hAnsi="Times New Roman"/>
                <w:color w:val="000000"/>
                <w:sz w:val="24"/>
                <w:szCs w:val="24"/>
                <w:lang w:val="uk-UA"/>
              </w:rPr>
              <w:t>7458,82</w:t>
            </w: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color w:val="000000"/>
                <w:sz w:val="24"/>
                <w:szCs w:val="24"/>
                <w:lang w:val="uk-UA"/>
              </w:rPr>
            </w:pPr>
            <w:r w:rsidRPr="00C70E2C">
              <w:rPr>
                <w:rFonts w:ascii="Times New Roman" w:hAnsi="Times New Roman"/>
                <w:color w:val="000000"/>
                <w:sz w:val="24"/>
                <w:szCs w:val="24"/>
                <w:lang w:val="uk-UA"/>
              </w:rPr>
              <w:t>7458,82</w:t>
            </w:r>
          </w:p>
        </w:tc>
      </w:tr>
      <w:tr w:rsidR="009E4A4A" w:rsidRPr="00C70E2C" w:rsidTr="003E2C2D">
        <w:trPr>
          <w:trHeight w:val="330"/>
        </w:trPr>
        <w:tc>
          <w:tcPr>
            <w:tcW w:w="2697" w:type="pct"/>
            <w:tcBorders>
              <w:top w:val="nil"/>
              <w:left w:val="single" w:sz="8" w:space="0" w:color="auto"/>
              <w:bottom w:val="single" w:sz="8" w:space="0" w:color="auto"/>
              <w:right w:val="single" w:sz="8" w:space="0" w:color="auto"/>
            </w:tcBorders>
            <w:shd w:val="clear" w:color="auto" w:fill="FFFFFF"/>
          </w:tcPr>
          <w:p w:rsidR="009E4A4A" w:rsidRPr="00C70E2C" w:rsidRDefault="009E4A4A" w:rsidP="003E2C2D">
            <w:pPr>
              <w:spacing w:after="0" w:line="240" w:lineRule="auto"/>
              <w:rPr>
                <w:rFonts w:ascii="Times New Roman" w:hAnsi="Times New Roman"/>
                <w:b/>
                <w:bCs/>
                <w:color w:val="000000"/>
                <w:sz w:val="24"/>
                <w:szCs w:val="24"/>
                <w:lang w:val="uk-UA"/>
              </w:rPr>
            </w:pPr>
            <w:r w:rsidRPr="00C70E2C">
              <w:rPr>
                <w:rFonts w:ascii="Times New Roman" w:hAnsi="Times New Roman"/>
                <w:b/>
                <w:bCs/>
                <w:color w:val="000000"/>
                <w:sz w:val="24"/>
                <w:szCs w:val="24"/>
                <w:lang w:val="uk-UA"/>
              </w:rPr>
              <w:t>Разом</w:t>
            </w:r>
          </w:p>
        </w:tc>
        <w:tc>
          <w:tcPr>
            <w:tcW w:w="792"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b/>
                <w:bCs/>
                <w:sz w:val="24"/>
                <w:szCs w:val="24"/>
                <w:lang w:val="uk-UA"/>
              </w:rPr>
            </w:pPr>
          </w:p>
        </w:tc>
        <w:tc>
          <w:tcPr>
            <w:tcW w:w="706"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b/>
                <w:bCs/>
                <w:sz w:val="24"/>
                <w:szCs w:val="24"/>
                <w:lang w:val="uk-UA"/>
              </w:rPr>
            </w:pPr>
          </w:p>
        </w:tc>
        <w:tc>
          <w:tcPr>
            <w:tcW w:w="805" w:type="pct"/>
            <w:tcBorders>
              <w:top w:val="nil"/>
              <w:left w:val="nil"/>
              <w:bottom w:val="single" w:sz="8" w:space="0" w:color="auto"/>
              <w:right w:val="single" w:sz="8" w:space="0" w:color="auto"/>
            </w:tcBorders>
            <w:shd w:val="clear" w:color="auto" w:fill="FFFFFF"/>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395120,914</w:t>
            </w:r>
          </w:p>
        </w:tc>
      </w:tr>
    </w:tbl>
    <w:p w:rsidR="009E4A4A" w:rsidRDefault="009E4A4A" w:rsidP="009E4A4A">
      <w:pPr>
        <w:pStyle w:val="rvps2"/>
        <w:spacing w:before="0" w:beforeAutospacing="0" w:after="0" w:afterAutospacing="0" w:line="360" w:lineRule="auto"/>
        <w:ind w:firstLine="720"/>
        <w:jc w:val="both"/>
        <w:rPr>
          <w:i/>
          <w:sz w:val="26"/>
          <w:szCs w:val="26"/>
          <w:lang w:val="uk-UA"/>
        </w:rPr>
      </w:pPr>
    </w:p>
    <w:p w:rsidR="009E4A4A" w:rsidRPr="004F2237" w:rsidRDefault="009E4A4A" w:rsidP="009E4A4A">
      <w:pPr>
        <w:pStyle w:val="rvps2"/>
        <w:spacing w:before="0" w:beforeAutospacing="0" w:after="0" w:afterAutospacing="0" w:line="360" w:lineRule="auto"/>
        <w:ind w:firstLine="720"/>
        <w:jc w:val="both"/>
        <w:rPr>
          <w:i/>
          <w:sz w:val="26"/>
          <w:szCs w:val="26"/>
          <w:lang w:val="uk-UA"/>
        </w:rPr>
      </w:pPr>
      <w:r w:rsidRPr="004F2237">
        <w:rPr>
          <w:i/>
          <w:sz w:val="26"/>
          <w:szCs w:val="26"/>
          <w:lang w:val="uk-UA"/>
        </w:rPr>
        <w:t xml:space="preserve">Загальна вартість створення І черги будівництва Міжнародної реабілітаційної клініки складає 395120,914 тис. грн. або </w:t>
      </w:r>
      <w:r w:rsidRPr="004F2237">
        <w:rPr>
          <w:b/>
          <w:i/>
          <w:sz w:val="26"/>
          <w:szCs w:val="26"/>
          <w:lang w:val="uk-UA"/>
        </w:rPr>
        <w:t>395,121 млн. грн.</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i/>
          <w:sz w:val="26"/>
          <w:szCs w:val="26"/>
          <w:lang w:val="uk-UA"/>
        </w:rPr>
        <w:t>Вартість створення ІІ черги будівництва</w:t>
      </w:r>
      <w:r w:rsidRPr="004F2237">
        <w:rPr>
          <w:sz w:val="26"/>
          <w:szCs w:val="26"/>
          <w:lang w:val="uk-UA"/>
        </w:rPr>
        <w:t xml:space="preserve"> Міжнародної реабілітаційної клініки була розрахована за аналоговим методом розрахунку вартості І черги будівництва та склала </w:t>
      </w:r>
      <w:r w:rsidRPr="004F2237">
        <w:rPr>
          <w:b/>
          <w:i/>
          <w:sz w:val="26"/>
          <w:szCs w:val="26"/>
          <w:lang w:val="uk-UA"/>
        </w:rPr>
        <w:t>553,169 млн. грн</w:t>
      </w:r>
      <w:r w:rsidRPr="004F2237">
        <w:rPr>
          <w:sz w:val="26"/>
          <w:szCs w:val="26"/>
          <w:lang w:val="uk-UA"/>
        </w:rPr>
        <w:t>.</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b/>
          <w:i/>
          <w:sz w:val="26"/>
          <w:szCs w:val="26"/>
          <w:lang w:val="uk-UA"/>
        </w:rPr>
        <w:t>Загальна вартість будівництва оздоровчої зони складе 948,29 млн. грн</w:t>
      </w:r>
      <w:r w:rsidRPr="004F2237">
        <w:rPr>
          <w:sz w:val="26"/>
          <w:szCs w:val="26"/>
          <w:lang w:val="uk-UA"/>
        </w:rPr>
        <w:t>.</w:t>
      </w:r>
    </w:p>
    <w:p w:rsidR="009E4A4A" w:rsidRPr="004F2237" w:rsidRDefault="009E4A4A" w:rsidP="009E4A4A">
      <w:pPr>
        <w:pStyle w:val="rvps2"/>
        <w:spacing w:before="0" w:beforeAutospacing="0" w:after="0" w:afterAutospacing="0" w:line="360" w:lineRule="auto"/>
        <w:ind w:firstLine="720"/>
        <w:jc w:val="center"/>
        <w:rPr>
          <w:i/>
          <w:sz w:val="26"/>
          <w:szCs w:val="26"/>
          <w:lang w:val="uk-UA"/>
        </w:rPr>
      </w:pPr>
    </w:p>
    <w:p w:rsidR="009E4A4A" w:rsidRDefault="009E4A4A" w:rsidP="009E4A4A">
      <w:pPr>
        <w:pStyle w:val="rvps2"/>
        <w:spacing w:before="0" w:beforeAutospacing="0" w:after="0" w:afterAutospacing="0" w:line="360" w:lineRule="auto"/>
        <w:ind w:firstLine="720"/>
        <w:jc w:val="center"/>
        <w:rPr>
          <w:i/>
          <w:sz w:val="28"/>
          <w:szCs w:val="28"/>
          <w:lang w:val="uk-UA"/>
        </w:rPr>
      </w:pPr>
    </w:p>
    <w:p w:rsidR="009E4A4A" w:rsidRDefault="009E4A4A" w:rsidP="009E4A4A">
      <w:pPr>
        <w:pStyle w:val="rvps2"/>
        <w:spacing w:before="0" w:beforeAutospacing="0" w:after="0" w:afterAutospacing="0" w:line="360" w:lineRule="auto"/>
        <w:ind w:firstLine="720"/>
        <w:jc w:val="center"/>
        <w:rPr>
          <w:i/>
          <w:sz w:val="28"/>
          <w:szCs w:val="28"/>
          <w:lang w:val="uk-UA"/>
        </w:rPr>
      </w:pPr>
    </w:p>
    <w:p w:rsidR="009E4A4A" w:rsidRDefault="009E4A4A" w:rsidP="009E4A4A">
      <w:pPr>
        <w:pStyle w:val="rvps2"/>
        <w:spacing w:before="0" w:beforeAutospacing="0" w:after="0" w:afterAutospacing="0" w:line="360" w:lineRule="auto"/>
        <w:ind w:firstLine="720"/>
        <w:jc w:val="center"/>
        <w:rPr>
          <w:i/>
          <w:sz w:val="28"/>
          <w:szCs w:val="28"/>
          <w:lang w:val="uk-UA"/>
        </w:rPr>
      </w:pPr>
    </w:p>
    <w:p w:rsidR="009E4A4A" w:rsidRPr="004F2237" w:rsidRDefault="009E4A4A" w:rsidP="009E4A4A">
      <w:pPr>
        <w:pStyle w:val="rvps2"/>
        <w:spacing w:before="0" w:beforeAutospacing="0" w:after="0" w:afterAutospacing="0" w:line="360" w:lineRule="auto"/>
        <w:ind w:firstLine="720"/>
        <w:jc w:val="center"/>
        <w:rPr>
          <w:i/>
          <w:sz w:val="26"/>
          <w:szCs w:val="26"/>
          <w:lang w:val="uk-UA"/>
        </w:rPr>
      </w:pPr>
      <w:r w:rsidRPr="004F2237">
        <w:rPr>
          <w:i/>
          <w:sz w:val="26"/>
          <w:szCs w:val="26"/>
          <w:lang w:val="uk-UA"/>
        </w:rPr>
        <w:lastRenderedPageBreak/>
        <w:t>Оздоровчо-рекреаційна зона</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Будівництво об’єктів оздоровчо-рекреаційної зони планується за рахунок приватних комерційних інвесторів. Загальна вартість будівництва основних об’єктів оздоровчо-рекреаційної зони представлено в таблиці </w:t>
      </w:r>
      <w:r>
        <w:rPr>
          <w:sz w:val="26"/>
          <w:szCs w:val="26"/>
          <w:lang w:val="uk-UA"/>
        </w:rPr>
        <w:t>1.</w:t>
      </w:r>
      <w:r w:rsidRPr="004F2237">
        <w:rPr>
          <w:sz w:val="26"/>
          <w:szCs w:val="26"/>
          <w:lang w:val="uk-UA"/>
        </w:rPr>
        <w:t>6.</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Таблиця </w:t>
      </w:r>
      <w:r>
        <w:rPr>
          <w:sz w:val="26"/>
          <w:szCs w:val="26"/>
          <w:lang w:val="uk-UA"/>
        </w:rPr>
        <w:t>1.</w:t>
      </w:r>
      <w:r w:rsidRPr="004F2237">
        <w:rPr>
          <w:sz w:val="26"/>
          <w:szCs w:val="26"/>
          <w:lang w:val="uk-UA"/>
        </w:rPr>
        <w:t>6 - Загальна вартість будівництва основних об’єктів оздоровчо-рекреаційної зони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1"/>
        <w:gridCol w:w="5480"/>
      </w:tblGrid>
      <w:tr w:rsidR="009E4A4A" w:rsidRPr="00C70E2C" w:rsidTr="003E2C2D">
        <w:tc>
          <w:tcPr>
            <w:tcW w:w="2137" w:type="pct"/>
            <w:shd w:val="clear" w:color="auto" w:fill="auto"/>
          </w:tcPr>
          <w:p w:rsidR="009E4A4A" w:rsidRPr="0059571B" w:rsidRDefault="009E4A4A" w:rsidP="003E2C2D">
            <w:pPr>
              <w:pStyle w:val="rvps2"/>
              <w:spacing w:before="0" w:beforeAutospacing="0" w:after="0" w:afterAutospacing="0" w:line="360" w:lineRule="auto"/>
              <w:jc w:val="both"/>
              <w:rPr>
                <w:sz w:val="26"/>
                <w:szCs w:val="26"/>
                <w:lang w:val="uk-UA"/>
              </w:rPr>
            </w:pPr>
            <w:r w:rsidRPr="0059571B">
              <w:rPr>
                <w:sz w:val="26"/>
                <w:szCs w:val="26"/>
                <w:lang w:val="uk-UA"/>
              </w:rPr>
              <w:t>Назва об’єкті будівництва</w:t>
            </w:r>
          </w:p>
        </w:tc>
        <w:tc>
          <w:tcPr>
            <w:tcW w:w="2863" w:type="pct"/>
            <w:shd w:val="clear" w:color="auto" w:fill="auto"/>
          </w:tcPr>
          <w:p w:rsidR="009E4A4A" w:rsidRPr="0059571B" w:rsidRDefault="009E4A4A" w:rsidP="003E2C2D">
            <w:pPr>
              <w:pStyle w:val="rvps2"/>
              <w:spacing w:before="0" w:beforeAutospacing="0" w:after="0" w:afterAutospacing="0" w:line="360" w:lineRule="auto"/>
              <w:jc w:val="both"/>
              <w:rPr>
                <w:sz w:val="26"/>
                <w:szCs w:val="26"/>
                <w:lang w:val="uk-UA"/>
              </w:rPr>
            </w:pPr>
            <w:r w:rsidRPr="0059571B">
              <w:rPr>
                <w:sz w:val="26"/>
                <w:szCs w:val="26"/>
                <w:lang w:val="uk-UA"/>
              </w:rPr>
              <w:t>Необхідні інвестиційні витрати, млн. грн.</w:t>
            </w:r>
          </w:p>
        </w:tc>
      </w:tr>
      <w:tr w:rsidR="009E4A4A" w:rsidRPr="00C70E2C" w:rsidTr="003E2C2D">
        <w:tc>
          <w:tcPr>
            <w:tcW w:w="2137" w:type="pct"/>
            <w:shd w:val="clear" w:color="auto" w:fill="auto"/>
          </w:tcPr>
          <w:p w:rsidR="009E4A4A" w:rsidRPr="0059571B" w:rsidRDefault="009E4A4A" w:rsidP="003E2C2D">
            <w:pPr>
              <w:pStyle w:val="rvps2"/>
              <w:rPr>
                <w:sz w:val="26"/>
                <w:szCs w:val="26"/>
                <w:lang w:val="uk-UA"/>
              </w:rPr>
            </w:pPr>
            <w:r w:rsidRPr="0059571B">
              <w:rPr>
                <w:sz w:val="26"/>
                <w:szCs w:val="26"/>
                <w:lang w:val="uk-UA"/>
              </w:rPr>
              <w:t>Курортні готелі</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691,2</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r w:rsidRPr="0059571B">
              <w:rPr>
                <w:sz w:val="26"/>
                <w:szCs w:val="26"/>
                <w:lang w:val="uk-UA"/>
              </w:rPr>
              <w:t>Санаторії для дітей з батьками</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1958,4</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r w:rsidRPr="0059571B">
              <w:rPr>
                <w:sz w:val="26"/>
                <w:szCs w:val="26"/>
                <w:lang w:val="uk-UA"/>
              </w:rPr>
              <w:t>Пансіонати</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547,2</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r w:rsidRPr="0059571B">
              <w:rPr>
                <w:sz w:val="26"/>
                <w:szCs w:val="26"/>
                <w:lang w:val="uk-UA"/>
              </w:rPr>
              <w:t>Міні-пансіонати</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460,8</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r w:rsidRPr="0059571B">
              <w:rPr>
                <w:sz w:val="26"/>
                <w:szCs w:val="26"/>
                <w:lang w:val="uk-UA"/>
              </w:rPr>
              <w:t>Молодіжні табори</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80,64</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r w:rsidRPr="0059571B">
              <w:rPr>
                <w:sz w:val="26"/>
                <w:szCs w:val="26"/>
                <w:lang w:val="uk-UA"/>
              </w:rPr>
              <w:t>Розважальні центри</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130,0</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proofErr w:type="spellStart"/>
            <w:r w:rsidRPr="0059571B">
              <w:rPr>
                <w:sz w:val="26"/>
                <w:szCs w:val="26"/>
                <w:lang w:val="uk-UA"/>
              </w:rPr>
              <w:t>Етнокомплекси</w:t>
            </w:r>
            <w:proofErr w:type="spellEnd"/>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345,6</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r w:rsidRPr="0059571B">
              <w:rPr>
                <w:sz w:val="26"/>
                <w:szCs w:val="26"/>
                <w:lang w:val="uk-UA"/>
              </w:rPr>
              <w:t>Басейни</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117</w:t>
            </w:r>
          </w:p>
        </w:tc>
      </w:tr>
      <w:tr w:rsidR="009E4A4A" w:rsidRPr="00C70E2C" w:rsidTr="003E2C2D">
        <w:tc>
          <w:tcPr>
            <w:tcW w:w="2137" w:type="pct"/>
            <w:shd w:val="clear" w:color="auto" w:fill="auto"/>
          </w:tcPr>
          <w:p w:rsidR="009E4A4A" w:rsidRPr="0059571B" w:rsidRDefault="009E4A4A" w:rsidP="003E2C2D">
            <w:pPr>
              <w:pStyle w:val="rvps2"/>
              <w:jc w:val="both"/>
              <w:rPr>
                <w:sz w:val="26"/>
                <w:szCs w:val="26"/>
                <w:lang w:val="uk-UA"/>
              </w:rPr>
            </w:pPr>
            <w:r w:rsidRPr="0059571B">
              <w:rPr>
                <w:sz w:val="26"/>
                <w:szCs w:val="26"/>
                <w:lang w:val="uk-UA"/>
              </w:rPr>
              <w:t>Коледж</w:t>
            </w:r>
          </w:p>
        </w:tc>
        <w:tc>
          <w:tcPr>
            <w:tcW w:w="2863" w:type="pct"/>
            <w:shd w:val="clear" w:color="auto" w:fill="auto"/>
          </w:tcPr>
          <w:p w:rsidR="009E4A4A" w:rsidRPr="0059571B" w:rsidRDefault="009E4A4A" w:rsidP="003E2C2D">
            <w:pPr>
              <w:pStyle w:val="rvps2"/>
              <w:spacing w:before="0" w:beforeAutospacing="0" w:after="0" w:afterAutospacing="0" w:line="360" w:lineRule="auto"/>
              <w:jc w:val="center"/>
              <w:rPr>
                <w:sz w:val="26"/>
                <w:szCs w:val="26"/>
                <w:lang w:val="uk-UA"/>
              </w:rPr>
            </w:pPr>
            <w:r w:rsidRPr="0059571B">
              <w:rPr>
                <w:sz w:val="26"/>
                <w:szCs w:val="26"/>
                <w:lang w:val="uk-UA"/>
              </w:rPr>
              <w:t>168</w:t>
            </w:r>
          </w:p>
        </w:tc>
      </w:tr>
      <w:tr w:rsidR="009E4A4A" w:rsidRPr="00C70E2C" w:rsidTr="003E2C2D">
        <w:tc>
          <w:tcPr>
            <w:tcW w:w="2137" w:type="pct"/>
            <w:shd w:val="clear" w:color="auto" w:fill="auto"/>
          </w:tcPr>
          <w:p w:rsidR="009E4A4A" w:rsidRPr="0059571B" w:rsidRDefault="009E4A4A" w:rsidP="003E2C2D">
            <w:pPr>
              <w:pStyle w:val="rvps2"/>
              <w:spacing w:before="0" w:beforeAutospacing="0" w:after="0" w:afterAutospacing="0" w:line="360" w:lineRule="auto"/>
              <w:jc w:val="both"/>
              <w:rPr>
                <w:sz w:val="26"/>
                <w:szCs w:val="26"/>
                <w:lang w:val="uk-UA"/>
              </w:rPr>
            </w:pPr>
            <w:r w:rsidRPr="0059571B">
              <w:rPr>
                <w:sz w:val="26"/>
                <w:szCs w:val="26"/>
                <w:lang w:val="uk-UA"/>
              </w:rPr>
              <w:t>Всього</w:t>
            </w:r>
          </w:p>
        </w:tc>
        <w:tc>
          <w:tcPr>
            <w:tcW w:w="2863" w:type="pct"/>
            <w:shd w:val="clear" w:color="auto" w:fill="auto"/>
          </w:tcPr>
          <w:p w:rsidR="009E4A4A" w:rsidRPr="00B15B67" w:rsidRDefault="009E4A4A" w:rsidP="003E2C2D">
            <w:pPr>
              <w:pStyle w:val="rvps2"/>
              <w:spacing w:before="0" w:beforeAutospacing="0" w:after="0" w:afterAutospacing="0" w:line="360" w:lineRule="auto"/>
              <w:jc w:val="center"/>
              <w:rPr>
                <w:b/>
                <w:sz w:val="26"/>
                <w:szCs w:val="26"/>
                <w:lang w:val="uk-UA"/>
              </w:rPr>
            </w:pPr>
            <w:r w:rsidRPr="00B15B67">
              <w:rPr>
                <w:b/>
                <w:sz w:val="26"/>
                <w:szCs w:val="26"/>
                <w:lang w:val="uk-UA"/>
              </w:rPr>
              <w:t>4498,84</w:t>
            </w:r>
          </w:p>
        </w:tc>
      </w:tr>
    </w:tbl>
    <w:p w:rsidR="009E4A4A" w:rsidRPr="004F2237" w:rsidRDefault="009E4A4A" w:rsidP="009E4A4A">
      <w:pPr>
        <w:pStyle w:val="rvps2"/>
        <w:spacing w:before="0" w:beforeAutospacing="0" w:after="0" w:afterAutospacing="0" w:line="360" w:lineRule="auto"/>
        <w:ind w:firstLine="720"/>
        <w:jc w:val="both"/>
        <w:rPr>
          <w:b/>
          <w:i/>
          <w:sz w:val="26"/>
          <w:szCs w:val="26"/>
          <w:lang w:val="uk-UA"/>
        </w:rPr>
      </w:pPr>
      <w:r w:rsidRPr="004F2237">
        <w:rPr>
          <w:i/>
          <w:sz w:val="26"/>
          <w:szCs w:val="26"/>
          <w:lang w:val="uk-UA"/>
        </w:rPr>
        <w:t>Для розбудови необхідної інфраструктури Міжнародного реабілітаційного містечка «</w:t>
      </w:r>
      <w:proofErr w:type="spellStart"/>
      <w:r w:rsidRPr="004F2237">
        <w:rPr>
          <w:i/>
          <w:sz w:val="26"/>
          <w:szCs w:val="26"/>
          <w:lang w:val="uk-UA"/>
        </w:rPr>
        <w:t>ІnterMedical-EcoCity</w:t>
      </w:r>
      <w:proofErr w:type="spellEnd"/>
      <w:r w:rsidRPr="004F2237">
        <w:rPr>
          <w:i/>
          <w:sz w:val="26"/>
          <w:szCs w:val="26"/>
          <w:lang w:val="uk-UA"/>
        </w:rPr>
        <w:t>» потрібно залучити</w:t>
      </w:r>
      <w:r w:rsidRPr="004F2237">
        <w:rPr>
          <w:sz w:val="26"/>
          <w:szCs w:val="26"/>
          <w:lang w:val="uk-UA"/>
        </w:rPr>
        <w:t xml:space="preserve"> </w:t>
      </w:r>
      <w:r w:rsidRPr="004F2237">
        <w:rPr>
          <w:b/>
          <w:i/>
          <w:sz w:val="26"/>
          <w:szCs w:val="26"/>
          <w:lang w:val="uk-UA"/>
        </w:rPr>
        <w:t>4498,84 млн. грн. приватних інвестицій.</w:t>
      </w:r>
    </w:p>
    <w:p w:rsidR="009E4A4A" w:rsidRPr="004F2237" w:rsidRDefault="009E4A4A" w:rsidP="009E4A4A">
      <w:pPr>
        <w:pStyle w:val="rvps2"/>
        <w:spacing w:before="0" w:beforeAutospacing="0" w:after="0" w:afterAutospacing="0" w:line="360" w:lineRule="auto"/>
        <w:ind w:firstLine="720"/>
        <w:jc w:val="center"/>
        <w:rPr>
          <w:i/>
          <w:sz w:val="26"/>
          <w:szCs w:val="26"/>
          <w:lang w:val="uk-UA"/>
        </w:rPr>
      </w:pPr>
      <w:r w:rsidRPr="004F2237">
        <w:rPr>
          <w:i/>
          <w:sz w:val="26"/>
          <w:szCs w:val="26"/>
          <w:lang w:val="uk-UA"/>
        </w:rPr>
        <w:t>Парково-громадська зона</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Загальні необхідні інвестиції на будівництво об’єктів парково-громадської зони представлено в  таблиці </w:t>
      </w:r>
      <w:r>
        <w:rPr>
          <w:sz w:val="26"/>
          <w:szCs w:val="26"/>
          <w:lang w:val="uk-UA"/>
        </w:rPr>
        <w:t>1.</w:t>
      </w:r>
      <w:r w:rsidRPr="004F2237">
        <w:rPr>
          <w:sz w:val="26"/>
          <w:szCs w:val="26"/>
          <w:lang w:val="uk-UA"/>
        </w:rPr>
        <w:t xml:space="preserve">7. </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Таблиця </w:t>
      </w:r>
      <w:r>
        <w:rPr>
          <w:sz w:val="26"/>
          <w:szCs w:val="26"/>
          <w:lang w:val="uk-UA"/>
        </w:rPr>
        <w:t>1.</w:t>
      </w:r>
      <w:r w:rsidRPr="004F2237">
        <w:rPr>
          <w:sz w:val="26"/>
          <w:szCs w:val="26"/>
          <w:lang w:val="uk-UA"/>
        </w:rPr>
        <w:t>7 – Загальні інвестиції в об’єкти парково-громадської зони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6"/>
        <w:gridCol w:w="4845"/>
      </w:tblGrid>
      <w:tr w:rsidR="009E4A4A" w:rsidRPr="00C70E2C" w:rsidTr="003E2C2D">
        <w:tc>
          <w:tcPr>
            <w:tcW w:w="0" w:type="auto"/>
            <w:shd w:val="clear" w:color="auto" w:fill="auto"/>
          </w:tcPr>
          <w:p w:rsidR="009E4A4A" w:rsidRPr="00B15B67" w:rsidRDefault="009E4A4A" w:rsidP="003E2C2D">
            <w:pPr>
              <w:pStyle w:val="rvps2"/>
              <w:spacing w:before="0" w:beforeAutospacing="0" w:after="0" w:afterAutospacing="0" w:line="360" w:lineRule="auto"/>
              <w:jc w:val="both"/>
              <w:rPr>
                <w:sz w:val="26"/>
                <w:szCs w:val="26"/>
                <w:lang w:val="uk-UA"/>
              </w:rPr>
            </w:pPr>
            <w:r w:rsidRPr="00B15B67">
              <w:rPr>
                <w:sz w:val="26"/>
                <w:szCs w:val="26"/>
                <w:lang w:val="uk-UA"/>
              </w:rPr>
              <w:t>Назва об’єкті будівництва</w:t>
            </w:r>
          </w:p>
        </w:tc>
        <w:tc>
          <w:tcPr>
            <w:tcW w:w="0" w:type="auto"/>
            <w:shd w:val="clear" w:color="auto" w:fill="auto"/>
          </w:tcPr>
          <w:p w:rsidR="009E4A4A" w:rsidRPr="00B15B67" w:rsidRDefault="009E4A4A" w:rsidP="003E2C2D">
            <w:pPr>
              <w:pStyle w:val="rvps2"/>
              <w:spacing w:before="0" w:beforeAutospacing="0" w:after="0" w:afterAutospacing="0" w:line="360" w:lineRule="auto"/>
              <w:jc w:val="both"/>
              <w:rPr>
                <w:sz w:val="26"/>
                <w:szCs w:val="26"/>
                <w:lang w:val="uk-UA"/>
              </w:rPr>
            </w:pPr>
            <w:r w:rsidRPr="00B15B67">
              <w:rPr>
                <w:sz w:val="26"/>
                <w:szCs w:val="26"/>
                <w:lang w:val="uk-UA"/>
              </w:rPr>
              <w:t>Необхідні інвестиційні витрати, млн. грн.</w:t>
            </w:r>
          </w:p>
        </w:tc>
      </w:tr>
      <w:tr w:rsidR="009E4A4A" w:rsidRPr="00C70E2C" w:rsidTr="003E2C2D">
        <w:trPr>
          <w:trHeight w:val="285"/>
        </w:trPr>
        <w:tc>
          <w:tcPr>
            <w:tcW w:w="0" w:type="auto"/>
            <w:gridSpan w:val="2"/>
            <w:shd w:val="clear" w:color="auto" w:fill="auto"/>
          </w:tcPr>
          <w:p w:rsidR="009E4A4A" w:rsidRPr="00B15B67" w:rsidRDefault="009E4A4A" w:rsidP="003E2C2D">
            <w:pPr>
              <w:pStyle w:val="rvps2"/>
              <w:spacing w:before="0" w:beforeAutospacing="0" w:after="0" w:afterAutospacing="0"/>
              <w:jc w:val="center"/>
              <w:rPr>
                <w:i/>
                <w:sz w:val="26"/>
                <w:szCs w:val="26"/>
                <w:lang w:val="uk-UA"/>
              </w:rPr>
            </w:pPr>
            <w:r w:rsidRPr="00B15B67">
              <w:rPr>
                <w:i/>
                <w:sz w:val="26"/>
                <w:szCs w:val="26"/>
                <w:lang w:val="uk-UA"/>
              </w:rPr>
              <w:t>Паркова зона</w:t>
            </w:r>
          </w:p>
        </w:tc>
      </w:tr>
      <w:tr w:rsidR="009E4A4A" w:rsidRPr="00C70E2C" w:rsidTr="003E2C2D">
        <w:tc>
          <w:tcPr>
            <w:tcW w:w="0" w:type="auto"/>
            <w:shd w:val="clear" w:color="auto" w:fill="auto"/>
          </w:tcPr>
          <w:p w:rsidR="009E4A4A" w:rsidRPr="00B15B67" w:rsidRDefault="009E4A4A" w:rsidP="003E2C2D">
            <w:pPr>
              <w:pStyle w:val="rvps2"/>
              <w:spacing w:before="0" w:beforeAutospacing="0" w:after="0" w:afterAutospacing="0"/>
              <w:jc w:val="both"/>
              <w:rPr>
                <w:sz w:val="26"/>
                <w:szCs w:val="26"/>
                <w:lang w:val="uk-UA"/>
              </w:rPr>
            </w:pPr>
            <w:r w:rsidRPr="00B15B67">
              <w:rPr>
                <w:sz w:val="26"/>
                <w:szCs w:val="26"/>
                <w:lang w:val="uk-UA"/>
              </w:rPr>
              <w:t>Аквапарк</w:t>
            </w:r>
          </w:p>
        </w:tc>
        <w:tc>
          <w:tcPr>
            <w:tcW w:w="0" w:type="auto"/>
            <w:shd w:val="clear" w:color="auto" w:fill="auto"/>
          </w:tcPr>
          <w:p w:rsidR="009E4A4A" w:rsidRPr="00B15B67" w:rsidRDefault="009E4A4A" w:rsidP="003E2C2D">
            <w:pPr>
              <w:pStyle w:val="rvps2"/>
              <w:spacing w:before="0" w:beforeAutospacing="0" w:after="0" w:afterAutospacing="0"/>
              <w:jc w:val="center"/>
              <w:rPr>
                <w:sz w:val="26"/>
                <w:szCs w:val="26"/>
                <w:lang w:val="uk-UA"/>
              </w:rPr>
            </w:pPr>
            <w:r w:rsidRPr="00B15B67">
              <w:rPr>
                <w:sz w:val="26"/>
                <w:szCs w:val="26"/>
                <w:lang w:val="uk-UA"/>
              </w:rPr>
              <w:t>31,65</w:t>
            </w:r>
          </w:p>
        </w:tc>
      </w:tr>
      <w:tr w:rsidR="009E4A4A" w:rsidRPr="00C70E2C" w:rsidTr="003E2C2D">
        <w:tc>
          <w:tcPr>
            <w:tcW w:w="0" w:type="auto"/>
            <w:gridSpan w:val="2"/>
            <w:shd w:val="clear" w:color="auto" w:fill="auto"/>
          </w:tcPr>
          <w:p w:rsidR="009E4A4A" w:rsidRPr="00B15B67" w:rsidRDefault="009E4A4A" w:rsidP="003E2C2D">
            <w:pPr>
              <w:pStyle w:val="rvps2"/>
              <w:spacing w:before="0" w:beforeAutospacing="0" w:after="0" w:afterAutospacing="0"/>
              <w:jc w:val="center"/>
              <w:rPr>
                <w:i/>
                <w:sz w:val="26"/>
                <w:szCs w:val="26"/>
                <w:lang w:val="uk-UA"/>
              </w:rPr>
            </w:pPr>
            <w:r w:rsidRPr="00B15B67">
              <w:rPr>
                <w:i/>
                <w:sz w:val="26"/>
                <w:szCs w:val="26"/>
                <w:lang w:val="uk-UA"/>
              </w:rPr>
              <w:t>Громадська зона</w:t>
            </w:r>
          </w:p>
        </w:tc>
      </w:tr>
      <w:tr w:rsidR="009E4A4A" w:rsidRPr="00C70E2C" w:rsidTr="003E2C2D">
        <w:tc>
          <w:tcPr>
            <w:tcW w:w="0" w:type="auto"/>
            <w:shd w:val="clear" w:color="auto" w:fill="auto"/>
          </w:tcPr>
          <w:p w:rsidR="009E4A4A" w:rsidRPr="00B15B67" w:rsidRDefault="009E4A4A" w:rsidP="003E2C2D">
            <w:pPr>
              <w:pStyle w:val="rvps2"/>
              <w:spacing w:before="0" w:beforeAutospacing="0" w:after="0" w:afterAutospacing="0"/>
              <w:jc w:val="both"/>
              <w:rPr>
                <w:sz w:val="26"/>
                <w:szCs w:val="26"/>
                <w:lang w:val="uk-UA"/>
              </w:rPr>
            </w:pPr>
            <w:r w:rsidRPr="00B15B67">
              <w:rPr>
                <w:sz w:val="26"/>
                <w:szCs w:val="26"/>
                <w:lang w:val="uk-UA"/>
              </w:rPr>
              <w:t>Універсальний розважальний центр</w:t>
            </w:r>
          </w:p>
        </w:tc>
        <w:tc>
          <w:tcPr>
            <w:tcW w:w="0" w:type="auto"/>
            <w:shd w:val="clear" w:color="auto" w:fill="auto"/>
          </w:tcPr>
          <w:p w:rsidR="009E4A4A" w:rsidRPr="00B15B67" w:rsidRDefault="009E4A4A" w:rsidP="003E2C2D">
            <w:pPr>
              <w:pStyle w:val="rvps2"/>
              <w:spacing w:before="0" w:beforeAutospacing="0" w:after="0" w:afterAutospacing="0"/>
              <w:jc w:val="center"/>
              <w:rPr>
                <w:sz w:val="26"/>
                <w:szCs w:val="26"/>
                <w:lang w:val="uk-UA"/>
              </w:rPr>
            </w:pPr>
            <w:r w:rsidRPr="00B15B67">
              <w:rPr>
                <w:sz w:val="26"/>
                <w:szCs w:val="26"/>
                <w:lang w:val="uk-UA"/>
              </w:rPr>
              <w:t>10,4</w:t>
            </w:r>
          </w:p>
        </w:tc>
      </w:tr>
      <w:tr w:rsidR="009E4A4A" w:rsidRPr="00C70E2C" w:rsidTr="003E2C2D">
        <w:tc>
          <w:tcPr>
            <w:tcW w:w="0" w:type="auto"/>
            <w:shd w:val="clear" w:color="auto" w:fill="auto"/>
          </w:tcPr>
          <w:p w:rsidR="009E4A4A" w:rsidRPr="00B15B67" w:rsidRDefault="009E4A4A" w:rsidP="003E2C2D">
            <w:pPr>
              <w:pStyle w:val="rvps2"/>
              <w:spacing w:before="0" w:beforeAutospacing="0" w:after="0" w:afterAutospacing="0"/>
              <w:jc w:val="both"/>
              <w:rPr>
                <w:sz w:val="26"/>
                <w:szCs w:val="26"/>
                <w:lang w:val="uk-UA"/>
              </w:rPr>
            </w:pPr>
            <w:r w:rsidRPr="00B15B67">
              <w:rPr>
                <w:sz w:val="26"/>
                <w:szCs w:val="26"/>
                <w:lang w:val="uk-UA"/>
              </w:rPr>
              <w:t>Спортивний центр</w:t>
            </w:r>
          </w:p>
        </w:tc>
        <w:tc>
          <w:tcPr>
            <w:tcW w:w="0" w:type="auto"/>
            <w:shd w:val="clear" w:color="auto" w:fill="auto"/>
          </w:tcPr>
          <w:p w:rsidR="009E4A4A" w:rsidRPr="00B15B67" w:rsidRDefault="009E4A4A" w:rsidP="003E2C2D">
            <w:pPr>
              <w:pStyle w:val="rvps2"/>
              <w:spacing w:before="0" w:beforeAutospacing="0" w:after="0" w:afterAutospacing="0"/>
              <w:jc w:val="center"/>
              <w:rPr>
                <w:sz w:val="26"/>
                <w:szCs w:val="26"/>
                <w:lang w:val="uk-UA"/>
              </w:rPr>
            </w:pPr>
            <w:r w:rsidRPr="00B15B67">
              <w:rPr>
                <w:sz w:val="26"/>
                <w:szCs w:val="26"/>
                <w:lang w:val="uk-UA"/>
              </w:rPr>
              <w:t>10,4</w:t>
            </w:r>
          </w:p>
        </w:tc>
      </w:tr>
      <w:tr w:rsidR="009E4A4A" w:rsidRPr="00C70E2C" w:rsidTr="003E2C2D">
        <w:tc>
          <w:tcPr>
            <w:tcW w:w="0" w:type="auto"/>
            <w:shd w:val="clear" w:color="auto" w:fill="auto"/>
          </w:tcPr>
          <w:p w:rsidR="009E4A4A" w:rsidRPr="00B15B67" w:rsidRDefault="009E4A4A" w:rsidP="003E2C2D">
            <w:pPr>
              <w:pStyle w:val="rvps2"/>
              <w:spacing w:before="0" w:beforeAutospacing="0" w:after="0" w:afterAutospacing="0"/>
              <w:jc w:val="both"/>
              <w:rPr>
                <w:sz w:val="26"/>
                <w:szCs w:val="26"/>
                <w:lang w:val="uk-UA"/>
              </w:rPr>
            </w:pPr>
            <w:r w:rsidRPr="00B15B67">
              <w:rPr>
                <w:sz w:val="26"/>
                <w:szCs w:val="26"/>
                <w:lang w:val="uk-UA"/>
              </w:rPr>
              <w:t>Торгово-виставкові центри</w:t>
            </w:r>
          </w:p>
        </w:tc>
        <w:tc>
          <w:tcPr>
            <w:tcW w:w="0" w:type="auto"/>
            <w:shd w:val="clear" w:color="auto" w:fill="auto"/>
          </w:tcPr>
          <w:p w:rsidR="009E4A4A" w:rsidRPr="00B15B67" w:rsidRDefault="009E4A4A" w:rsidP="003E2C2D">
            <w:pPr>
              <w:pStyle w:val="rvps2"/>
              <w:spacing w:before="0" w:beforeAutospacing="0" w:after="0" w:afterAutospacing="0"/>
              <w:jc w:val="center"/>
              <w:rPr>
                <w:sz w:val="26"/>
                <w:szCs w:val="26"/>
                <w:lang w:val="uk-UA"/>
              </w:rPr>
            </w:pPr>
            <w:r w:rsidRPr="00B15B67">
              <w:rPr>
                <w:sz w:val="26"/>
                <w:szCs w:val="26"/>
                <w:lang w:val="uk-UA"/>
              </w:rPr>
              <w:t>41,6</w:t>
            </w:r>
          </w:p>
        </w:tc>
      </w:tr>
      <w:tr w:rsidR="009E4A4A" w:rsidRPr="00C70E2C" w:rsidTr="003E2C2D">
        <w:tc>
          <w:tcPr>
            <w:tcW w:w="0" w:type="auto"/>
            <w:shd w:val="clear" w:color="auto" w:fill="auto"/>
          </w:tcPr>
          <w:p w:rsidR="009E4A4A" w:rsidRPr="00B15B67" w:rsidRDefault="009E4A4A" w:rsidP="003E2C2D">
            <w:pPr>
              <w:pStyle w:val="rvps2"/>
              <w:spacing w:before="0" w:beforeAutospacing="0" w:after="0" w:afterAutospacing="0"/>
              <w:jc w:val="both"/>
              <w:rPr>
                <w:sz w:val="26"/>
                <w:szCs w:val="26"/>
                <w:lang w:val="uk-UA"/>
              </w:rPr>
            </w:pPr>
            <w:r w:rsidRPr="00B15B67">
              <w:rPr>
                <w:sz w:val="26"/>
                <w:szCs w:val="26"/>
                <w:lang w:val="uk-UA"/>
              </w:rPr>
              <w:t>Тематичні парки</w:t>
            </w:r>
          </w:p>
        </w:tc>
        <w:tc>
          <w:tcPr>
            <w:tcW w:w="0" w:type="auto"/>
            <w:shd w:val="clear" w:color="auto" w:fill="auto"/>
          </w:tcPr>
          <w:p w:rsidR="009E4A4A" w:rsidRPr="00B15B67" w:rsidRDefault="009E4A4A" w:rsidP="003E2C2D">
            <w:pPr>
              <w:pStyle w:val="rvps2"/>
              <w:spacing w:before="0" w:beforeAutospacing="0" w:after="0" w:afterAutospacing="0"/>
              <w:jc w:val="center"/>
              <w:rPr>
                <w:sz w:val="26"/>
                <w:szCs w:val="26"/>
                <w:lang w:val="uk-UA"/>
              </w:rPr>
            </w:pPr>
            <w:r w:rsidRPr="00B15B67">
              <w:rPr>
                <w:sz w:val="26"/>
                <w:szCs w:val="26"/>
                <w:lang w:val="uk-UA"/>
              </w:rPr>
              <w:t>45</w:t>
            </w:r>
          </w:p>
        </w:tc>
      </w:tr>
      <w:tr w:rsidR="009E4A4A" w:rsidRPr="00C70E2C" w:rsidTr="003E2C2D">
        <w:tc>
          <w:tcPr>
            <w:tcW w:w="0" w:type="auto"/>
            <w:shd w:val="clear" w:color="auto" w:fill="auto"/>
          </w:tcPr>
          <w:p w:rsidR="009E4A4A" w:rsidRPr="00B15B67" w:rsidRDefault="009E4A4A" w:rsidP="003E2C2D">
            <w:pPr>
              <w:pStyle w:val="rvps2"/>
              <w:spacing w:before="0" w:beforeAutospacing="0" w:after="0" w:afterAutospacing="0"/>
              <w:jc w:val="both"/>
              <w:rPr>
                <w:sz w:val="26"/>
                <w:szCs w:val="26"/>
                <w:lang w:val="uk-UA"/>
              </w:rPr>
            </w:pPr>
            <w:r w:rsidRPr="00B15B67">
              <w:rPr>
                <w:sz w:val="26"/>
                <w:szCs w:val="26"/>
                <w:lang w:val="uk-UA"/>
              </w:rPr>
              <w:t>Всього</w:t>
            </w:r>
          </w:p>
        </w:tc>
        <w:tc>
          <w:tcPr>
            <w:tcW w:w="0" w:type="auto"/>
            <w:shd w:val="clear" w:color="auto" w:fill="auto"/>
          </w:tcPr>
          <w:p w:rsidR="009E4A4A" w:rsidRPr="00C7417D" w:rsidRDefault="009E4A4A" w:rsidP="003E2C2D">
            <w:pPr>
              <w:pStyle w:val="rvps2"/>
              <w:spacing w:before="0" w:beforeAutospacing="0" w:after="0" w:afterAutospacing="0"/>
              <w:jc w:val="center"/>
              <w:rPr>
                <w:b/>
                <w:sz w:val="26"/>
                <w:szCs w:val="26"/>
                <w:lang w:val="uk-UA"/>
              </w:rPr>
            </w:pPr>
            <w:r w:rsidRPr="00C7417D">
              <w:rPr>
                <w:b/>
                <w:sz w:val="26"/>
                <w:szCs w:val="26"/>
                <w:lang w:val="uk-UA"/>
              </w:rPr>
              <w:t>139,05</w:t>
            </w:r>
          </w:p>
        </w:tc>
      </w:tr>
    </w:tbl>
    <w:p w:rsidR="009E4A4A" w:rsidRPr="004F2237" w:rsidRDefault="009E4A4A" w:rsidP="009E4A4A">
      <w:pPr>
        <w:pStyle w:val="rvps2"/>
        <w:spacing w:before="0" w:beforeAutospacing="0" w:after="0" w:afterAutospacing="0" w:line="360" w:lineRule="auto"/>
        <w:ind w:firstLine="720"/>
        <w:jc w:val="both"/>
        <w:rPr>
          <w:b/>
          <w:i/>
          <w:sz w:val="26"/>
          <w:szCs w:val="26"/>
          <w:lang w:val="uk-UA"/>
        </w:rPr>
      </w:pPr>
      <w:r w:rsidRPr="004F2237">
        <w:rPr>
          <w:i/>
          <w:sz w:val="26"/>
          <w:szCs w:val="26"/>
          <w:lang w:val="uk-UA"/>
        </w:rPr>
        <w:lastRenderedPageBreak/>
        <w:t xml:space="preserve">Загальна вартість розбудови парково-громадської зони складе </w:t>
      </w:r>
      <w:r w:rsidRPr="004F2237">
        <w:rPr>
          <w:b/>
          <w:i/>
          <w:sz w:val="26"/>
          <w:szCs w:val="26"/>
          <w:lang w:val="uk-UA"/>
        </w:rPr>
        <w:t>139,05 млн. грн.</w:t>
      </w:r>
    </w:p>
    <w:p w:rsidR="009E4A4A" w:rsidRPr="004F2237" w:rsidRDefault="009E4A4A" w:rsidP="009E4A4A">
      <w:pPr>
        <w:pStyle w:val="rvps2"/>
        <w:spacing w:before="0" w:beforeAutospacing="0" w:after="0" w:afterAutospacing="0" w:line="360" w:lineRule="auto"/>
        <w:ind w:firstLine="720"/>
        <w:jc w:val="center"/>
        <w:rPr>
          <w:b/>
          <w:i/>
          <w:sz w:val="26"/>
          <w:szCs w:val="26"/>
          <w:lang w:val="uk-UA"/>
        </w:rPr>
      </w:pPr>
      <w:r w:rsidRPr="004F2237">
        <w:rPr>
          <w:b/>
          <w:i/>
          <w:sz w:val="26"/>
          <w:szCs w:val="26"/>
          <w:lang w:val="uk-UA"/>
        </w:rPr>
        <w:t>Інвестиції держави в підготовку території</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Для створення умов з залучення приватних інвестицій на розбудову оздоровчо-рекреаційної зони держава повинна забезпечити платформу, а саме забезпечити підготовку території та улаштування інженерних мереж.</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Основні витрати держави на підготовку території та улаштування мереж представлено в таблиці </w:t>
      </w:r>
      <w:r>
        <w:rPr>
          <w:sz w:val="26"/>
          <w:szCs w:val="26"/>
          <w:lang w:val="uk-UA"/>
        </w:rPr>
        <w:t>1.</w:t>
      </w:r>
      <w:r w:rsidRPr="004F2237">
        <w:rPr>
          <w:sz w:val="26"/>
          <w:szCs w:val="26"/>
          <w:lang w:val="uk-UA"/>
        </w:rPr>
        <w:t>8.</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Таблиця </w:t>
      </w:r>
      <w:r>
        <w:rPr>
          <w:sz w:val="26"/>
          <w:szCs w:val="26"/>
          <w:lang w:val="uk-UA"/>
        </w:rPr>
        <w:t>1.</w:t>
      </w:r>
      <w:r w:rsidRPr="004F2237">
        <w:rPr>
          <w:sz w:val="26"/>
          <w:szCs w:val="26"/>
          <w:lang w:val="uk-UA"/>
        </w:rPr>
        <w:t>8 – Державні інвестиції в підготовку території та інженерні мережі</w:t>
      </w:r>
    </w:p>
    <w:tbl>
      <w:tblPr>
        <w:tblW w:w="5000" w:type="pct"/>
        <w:tblLook w:val="0000"/>
      </w:tblPr>
      <w:tblGrid>
        <w:gridCol w:w="3106"/>
        <w:gridCol w:w="1307"/>
        <w:gridCol w:w="1451"/>
        <w:gridCol w:w="1073"/>
        <w:gridCol w:w="1518"/>
        <w:gridCol w:w="1116"/>
      </w:tblGrid>
      <w:tr w:rsidR="009E4A4A" w:rsidRPr="00C70E2C" w:rsidTr="003E2C2D">
        <w:trPr>
          <w:trHeight w:val="645"/>
          <w:tblHeader/>
        </w:trPr>
        <w:tc>
          <w:tcPr>
            <w:tcW w:w="1623" w:type="pct"/>
            <w:vMerge w:val="restart"/>
            <w:tcBorders>
              <w:top w:val="single" w:sz="4" w:space="0" w:color="auto"/>
              <w:left w:val="single" w:sz="4" w:space="0" w:color="auto"/>
              <w:bottom w:val="single" w:sz="4" w:space="0" w:color="000000"/>
              <w:right w:val="single" w:sz="4" w:space="0" w:color="auto"/>
            </w:tcBorders>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Види робіт</w:t>
            </w:r>
          </w:p>
        </w:tc>
        <w:tc>
          <w:tcPr>
            <w:tcW w:w="2001" w:type="pct"/>
            <w:gridSpan w:val="3"/>
            <w:tcBorders>
              <w:top w:val="single" w:sz="4" w:space="0" w:color="auto"/>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Зона</w:t>
            </w:r>
          </w:p>
        </w:tc>
        <w:tc>
          <w:tcPr>
            <w:tcW w:w="793" w:type="pct"/>
            <w:vMerge w:val="restart"/>
            <w:tcBorders>
              <w:top w:val="single" w:sz="4" w:space="0" w:color="auto"/>
              <w:left w:val="single" w:sz="4" w:space="0" w:color="auto"/>
              <w:bottom w:val="single" w:sz="4" w:space="0" w:color="000000"/>
              <w:right w:val="single" w:sz="4" w:space="0" w:color="auto"/>
            </w:tcBorders>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Загального призначення</w:t>
            </w:r>
          </w:p>
        </w:tc>
        <w:tc>
          <w:tcPr>
            <w:tcW w:w="583" w:type="pct"/>
            <w:vMerge w:val="restart"/>
            <w:tcBorders>
              <w:top w:val="single" w:sz="4" w:space="0" w:color="auto"/>
              <w:left w:val="single" w:sz="4" w:space="0" w:color="auto"/>
              <w:bottom w:val="single" w:sz="4" w:space="0" w:color="000000"/>
              <w:right w:val="single" w:sz="4" w:space="0" w:color="auto"/>
            </w:tcBorders>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Всього</w:t>
            </w:r>
          </w:p>
        </w:tc>
      </w:tr>
      <w:tr w:rsidR="009E4A4A" w:rsidRPr="00C70E2C" w:rsidTr="003E2C2D">
        <w:trPr>
          <w:trHeight w:val="510"/>
          <w:tblHeader/>
        </w:trPr>
        <w:tc>
          <w:tcPr>
            <w:tcW w:w="1623" w:type="pct"/>
            <w:vMerge/>
            <w:tcBorders>
              <w:top w:val="single" w:sz="4" w:space="0" w:color="auto"/>
              <w:left w:val="single" w:sz="4" w:space="0" w:color="auto"/>
              <w:bottom w:val="single" w:sz="4" w:space="0" w:color="000000"/>
              <w:right w:val="single" w:sz="4" w:space="0" w:color="auto"/>
            </w:tcBorders>
            <w:vAlign w:val="center"/>
          </w:tcPr>
          <w:p w:rsidR="009E4A4A" w:rsidRPr="00C70E2C" w:rsidRDefault="009E4A4A" w:rsidP="003E2C2D">
            <w:pPr>
              <w:spacing w:after="0" w:line="240" w:lineRule="auto"/>
              <w:rPr>
                <w:rFonts w:ascii="Times New Roman" w:hAnsi="Times New Roman"/>
                <w:sz w:val="24"/>
                <w:szCs w:val="24"/>
                <w:lang w:val="uk-UA"/>
              </w:rPr>
            </w:pPr>
          </w:p>
        </w:tc>
        <w:tc>
          <w:tcPr>
            <w:tcW w:w="683" w:type="pct"/>
            <w:tcBorders>
              <w:top w:val="nil"/>
              <w:left w:val="nil"/>
              <w:bottom w:val="single" w:sz="4" w:space="0" w:color="auto"/>
              <w:right w:val="single" w:sz="4" w:space="0" w:color="auto"/>
            </w:tcBorders>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Оздоровча</w:t>
            </w:r>
          </w:p>
        </w:tc>
        <w:tc>
          <w:tcPr>
            <w:tcW w:w="758" w:type="pct"/>
            <w:tcBorders>
              <w:top w:val="nil"/>
              <w:left w:val="nil"/>
              <w:bottom w:val="single" w:sz="4" w:space="0" w:color="auto"/>
              <w:right w:val="single" w:sz="4" w:space="0" w:color="auto"/>
            </w:tcBorders>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Оздоровчо-рекреаційна</w:t>
            </w:r>
          </w:p>
        </w:tc>
        <w:tc>
          <w:tcPr>
            <w:tcW w:w="561" w:type="pct"/>
            <w:tcBorders>
              <w:top w:val="nil"/>
              <w:left w:val="nil"/>
              <w:bottom w:val="single" w:sz="4" w:space="0" w:color="auto"/>
              <w:right w:val="single" w:sz="4" w:space="0" w:color="auto"/>
            </w:tcBorders>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Паркова</w:t>
            </w:r>
          </w:p>
        </w:tc>
        <w:tc>
          <w:tcPr>
            <w:tcW w:w="793" w:type="pct"/>
            <w:vMerge/>
            <w:tcBorders>
              <w:top w:val="single" w:sz="4" w:space="0" w:color="auto"/>
              <w:left w:val="single" w:sz="4" w:space="0" w:color="auto"/>
              <w:bottom w:val="single" w:sz="4" w:space="0" w:color="000000"/>
              <w:right w:val="single" w:sz="4" w:space="0" w:color="auto"/>
            </w:tcBorders>
            <w:vAlign w:val="center"/>
          </w:tcPr>
          <w:p w:rsidR="009E4A4A" w:rsidRPr="00C70E2C" w:rsidRDefault="009E4A4A" w:rsidP="003E2C2D">
            <w:pPr>
              <w:spacing w:after="0" w:line="240" w:lineRule="auto"/>
              <w:rPr>
                <w:rFonts w:ascii="Times New Roman" w:hAnsi="Times New Roman"/>
                <w:sz w:val="24"/>
                <w:szCs w:val="24"/>
                <w:lang w:val="uk-UA"/>
              </w:rPr>
            </w:pPr>
          </w:p>
        </w:tc>
        <w:tc>
          <w:tcPr>
            <w:tcW w:w="583" w:type="pct"/>
            <w:vMerge/>
            <w:tcBorders>
              <w:top w:val="single" w:sz="4" w:space="0" w:color="auto"/>
              <w:left w:val="single" w:sz="4" w:space="0" w:color="auto"/>
              <w:bottom w:val="single" w:sz="4" w:space="0" w:color="000000"/>
              <w:right w:val="single" w:sz="4" w:space="0" w:color="auto"/>
            </w:tcBorders>
            <w:vAlign w:val="center"/>
          </w:tcPr>
          <w:p w:rsidR="009E4A4A" w:rsidRPr="00C70E2C" w:rsidRDefault="009E4A4A" w:rsidP="003E2C2D">
            <w:pPr>
              <w:spacing w:after="0" w:line="240" w:lineRule="auto"/>
              <w:rPr>
                <w:rFonts w:ascii="Times New Roman" w:hAnsi="Times New Roman"/>
                <w:sz w:val="24"/>
                <w:szCs w:val="24"/>
                <w:lang w:val="uk-UA"/>
              </w:rPr>
            </w:pPr>
          </w:p>
        </w:tc>
      </w:tr>
      <w:tr w:rsidR="009E4A4A" w:rsidRPr="00C70E2C" w:rsidTr="003E2C2D">
        <w:trPr>
          <w:trHeight w:val="255"/>
          <w:tblHeader/>
        </w:trPr>
        <w:tc>
          <w:tcPr>
            <w:tcW w:w="1623" w:type="pct"/>
            <w:vMerge/>
            <w:tcBorders>
              <w:top w:val="single" w:sz="4" w:space="0" w:color="auto"/>
              <w:left w:val="single" w:sz="4" w:space="0" w:color="auto"/>
              <w:bottom w:val="single" w:sz="4" w:space="0" w:color="000000"/>
              <w:right w:val="single" w:sz="4" w:space="0" w:color="auto"/>
            </w:tcBorders>
            <w:vAlign w:val="center"/>
          </w:tcPr>
          <w:p w:rsidR="009E4A4A" w:rsidRPr="00C70E2C" w:rsidRDefault="009E4A4A" w:rsidP="003E2C2D">
            <w:pPr>
              <w:spacing w:after="0" w:line="240" w:lineRule="auto"/>
              <w:rPr>
                <w:rFonts w:ascii="Times New Roman" w:hAnsi="Times New Roman"/>
                <w:sz w:val="24"/>
                <w:szCs w:val="24"/>
                <w:lang w:val="uk-UA"/>
              </w:rPr>
            </w:pPr>
          </w:p>
        </w:tc>
        <w:tc>
          <w:tcPr>
            <w:tcW w:w="2001" w:type="pct"/>
            <w:gridSpan w:val="3"/>
            <w:tcBorders>
              <w:top w:val="single" w:sz="4" w:space="0" w:color="auto"/>
              <w:left w:val="nil"/>
              <w:bottom w:val="single" w:sz="4" w:space="0" w:color="auto"/>
              <w:right w:val="single" w:sz="4" w:space="0" w:color="auto"/>
            </w:tcBorders>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Вартість, млн. грн.</w:t>
            </w:r>
          </w:p>
        </w:tc>
        <w:tc>
          <w:tcPr>
            <w:tcW w:w="793" w:type="pct"/>
            <w:vMerge/>
            <w:tcBorders>
              <w:top w:val="single" w:sz="4" w:space="0" w:color="auto"/>
              <w:left w:val="single" w:sz="4" w:space="0" w:color="auto"/>
              <w:bottom w:val="single" w:sz="4" w:space="0" w:color="000000"/>
              <w:right w:val="single" w:sz="4" w:space="0" w:color="auto"/>
            </w:tcBorders>
            <w:vAlign w:val="center"/>
          </w:tcPr>
          <w:p w:rsidR="009E4A4A" w:rsidRPr="00C70E2C" w:rsidRDefault="009E4A4A" w:rsidP="003E2C2D">
            <w:pPr>
              <w:spacing w:after="0" w:line="240" w:lineRule="auto"/>
              <w:rPr>
                <w:rFonts w:ascii="Times New Roman" w:hAnsi="Times New Roman"/>
                <w:sz w:val="24"/>
                <w:szCs w:val="24"/>
                <w:lang w:val="uk-UA"/>
              </w:rPr>
            </w:pPr>
          </w:p>
        </w:tc>
        <w:tc>
          <w:tcPr>
            <w:tcW w:w="583" w:type="pct"/>
            <w:vMerge/>
            <w:tcBorders>
              <w:top w:val="single" w:sz="4" w:space="0" w:color="auto"/>
              <w:left w:val="single" w:sz="4" w:space="0" w:color="auto"/>
              <w:bottom w:val="single" w:sz="4" w:space="0" w:color="000000"/>
              <w:right w:val="single" w:sz="4" w:space="0" w:color="auto"/>
            </w:tcBorders>
            <w:vAlign w:val="center"/>
          </w:tcPr>
          <w:p w:rsidR="009E4A4A" w:rsidRPr="00C70E2C" w:rsidRDefault="009E4A4A" w:rsidP="003E2C2D">
            <w:pPr>
              <w:spacing w:after="0" w:line="240" w:lineRule="auto"/>
              <w:rPr>
                <w:rFonts w:ascii="Times New Roman" w:hAnsi="Times New Roman"/>
                <w:sz w:val="24"/>
                <w:szCs w:val="24"/>
                <w:lang w:val="uk-UA"/>
              </w:rPr>
            </w:pP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Гідротехнічні заходи</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15,457</w:t>
            </w: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71,868</w:t>
            </w: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3,2</w:t>
            </w: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90,525</w:t>
            </w:r>
          </w:p>
        </w:tc>
      </w:tr>
      <w:tr w:rsidR="009E4A4A" w:rsidRPr="00C70E2C" w:rsidTr="003E2C2D">
        <w:trPr>
          <w:trHeight w:val="58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Вертикальне планування та дощова каналізація</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9,2</w:t>
            </w: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42,3</w:t>
            </w: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4,6</w:t>
            </w: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56,1</w:t>
            </w:r>
          </w:p>
        </w:tc>
      </w:tr>
      <w:tr w:rsidR="009E4A4A" w:rsidRPr="00C70E2C" w:rsidTr="003E2C2D">
        <w:trPr>
          <w:trHeight w:val="300"/>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Електропостачання, в т.ч.:</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1000</w:t>
            </w:r>
          </w:p>
        </w:tc>
      </w:tr>
      <w:tr w:rsidR="009E4A4A" w:rsidRPr="00C70E2C" w:rsidTr="003E2C2D">
        <w:trPr>
          <w:trHeight w:val="300"/>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Спорудження КСЕСТ</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161,8</w:t>
            </w: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689</w:t>
            </w: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49,2</w:t>
            </w: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900</w:t>
            </w:r>
          </w:p>
        </w:tc>
      </w:tr>
      <w:tr w:rsidR="009E4A4A" w:rsidRPr="00C70E2C" w:rsidTr="003E2C2D">
        <w:trPr>
          <w:trHeight w:val="300"/>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об’єктів електроенергетики</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100</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100</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Водопостачання, в т.ч.:</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5,9345</w:t>
            </w: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14,3143</w:t>
            </w: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5,7112</w:t>
            </w: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25,96</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Прокладання вуличної водопровідної мережі</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7,33</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7,33</w:t>
            </w:r>
          </w:p>
        </w:tc>
      </w:tr>
      <w:tr w:rsidR="009E4A4A" w:rsidRPr="00C70E2C" w:rsidTr="003E2C2D">
        <w:trPr>
          <w:trHeight w:val="510"/>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 xml:space="preserve">Прокладання </w:t>
            </w:r>
            <w:proofErr w:type="spellStart"/>
            <w:r w:rsidRPr="00C70E2C">
              <w:rPr>
                <w:rFonts w:ascii="Times New Roman" w:hAnsi="Times New Roman"/>
                <w:sz w:val="24"/>
                <w:szCs w:val="24"/>
                <w:lang w:val="uk-UA"/>
              </w:rPr>
              <w:t>внутрішньоділянкової</w:t>
            </w:r>
            <w:proofErr w:type="spellEnd"/>
            <w:r w:rsidRPr="00C70E2C">
              <w:rPr>
                <w:rFonts w:ascii="Times New Roman" w:hAnsi="Times New Roman"/>
                <w:sz w:val="24"/>
                <w:szCs w:val="24"/>
                <w:lang w:val="uk-UA"/>
              </w:rPr>
              <w:t xml:space="preserve"> водопровідної мережі</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7,5</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7,5</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ділянок водопровідних споруд</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11,13</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11,13</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Каналізація, в т.ч.:</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1,971</w:t>
            </w: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13,2836</w:t>
            </w: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1,8854</w:t>
            </w: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17,14</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Прокладання вуличної самопливної мережі</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2,38</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2,38</w:t>
            </w:r>
          </w:p>
        </w:tc>
      </w:tr>
      <w:tr w:rsidR="009E4A4A" w:rsidRPr="00C70E2C" w:rsidTr="003E2C2D">
        <w:trPr>
          <w:trHeight w:val="510"/>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 xml:space="preserve">Прокладання внутрішньо-ділянкової </w:t>
            </w:r>
            <w:proofErr w:type="spellStart"/>
            <w:r w:rsidRPr="00C70E2C">
              <w:rPr>
                <w:rFonts w:ascii="Times New Roman" w:hAnsi="Times New Roman"/>
                <w:sz w:val="24"/>
                <w:szCs w:val="24"/>
                <w:lang w:val="uk-UA"/>
              </w:rPr>
              <w:t>какналізаційної</w:t>
            </w:r>
            <w:proofErr w:type="spellEnd"/>
            <w:r w:rsidRPr="00C70E2C">
              <w:rPr>
                <w:rFonts w:ascii="Times New Roman" w:hAnsi="Times New Roman"/>
                <w:sz w:val="24"/>
                <w:szCs w:val="24"/>
                <w:lang w:val="uk-UA"/>
              </w:rPr>
              <w:t xml:space="preserve"> мережі</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7,65</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7,65</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Прокладання напірної каналізаційної мережі</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2,31</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2,31</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каналізаційних насосних станцій</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0,8</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0,8</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каналізаційних очисних споруд</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Санітарне очищення, в т.ч.:</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highlight w:val="yellow"/>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highlight w:val="yellow"/>
                <w:lang w:val="uk-UA"/>
              </w:rPr>
            </w:pPr>
            <w:r w:rsidRPr="00C70E2C">
              <w:rPr>
                <w:rFonts w:ascii="Times New Roman" w:hAnsi="Times New Roman"/>
                <w:b/>
                <w:bCs/>
                <w:sz w:val="24"/>
                <w:szCs w:val="24"/>
                <w:lang w:val="uk-UA"/>
              </w:rPr>
              <w:t>5,2</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lastRenderedPageBreak/>
              <w:t>Придбання сміттєвозів</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2,1</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2,1</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 xml:space="preserve">Придбання </w:t>
            </w:r>
            <w:proofErr w:type="spellStart"/>
            <w:r w:rsidRPr="00C70E2C">
              <w:rPr>
                <w:rFonts w:ascii="Times New Roman" w:hAnsi="Times New Roman"/>
                <w:sz w:val="24"/>
                <w:szCs w:val="24"/>
                <w:lang w:val="uk-UA"/>
              </w:rPr>
              <w:t>прибиральних</w:t>
            </w:r>
            <w:proofErr w:type="spellEnd"/>
            <w:r w:rsidRPr="00C70E2C">
              <w:rPr>
                <w:rFonts w:ascii="Times New Roman" w:hAnsi="Times New Roman"/>
                <w:sz w:val="24"/>
                <w:szCs w:val="24"/>
                <w:lang w:val="uk-UA"/>
              </w:rPr>
              <w:t xml:space="preserve"> машин та механізмів</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2,8</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2,8</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Розробка Схеми санітарного очищення</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0,3</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0,3</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highlight w:val="yellow"/>
                <w:lang w:val="uk-UA"/>
              </w:rPr>
            </w:pPr>
            <w:r w:rsidRPr="00C70E2C">
              <w:rPr>
                <w:rFonts w:ascii="Times New Roman" w:hAnsi="Times New Roman"/>
                <w:b/>
                <w:bCs/>
                <w:sz w:val="24"/>
                <w:szCs w:val="24"/>
                <w:lang w:val="uk-UA"/>
              </w:rPr>
              <w:t>Транспорт, в т.ч.:</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highlight w:val="yellow"/>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highlight w:val="yellow"/>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highlight w:val="yellow"/>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highlight w:val="yellow"/>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highlight w:val="yellow"/>
                <w:lang w:val="uk-UA"/>
              </w:rPr>
            </w:pPr>
            <w:r w:rsidRPr="00C70E2C">
              <w:rPr>
                <w:rFonts w:ascii="Times New Roman" w:hAnsi="Times New Roman"/>
                <w:b/>
                <w:bCs/>
                <w:sz w:val="24"/>
                <w:szCs w:val="24"/>
                <w:lang w:val="uk-UA"/>
              </w:rPr>
              <w:t>766</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територіальної авто дороги</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450</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450</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причалу для приймання суден</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20</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20</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мережі житлових вулиць</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210</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210</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 xml:space="preserve">Будівництво </w:t>
            </w:r>
            <w:proofErr w:type="spellStart"/>
            <w:r w:rsidRPr="00C70E2C">
              <w:rPr>
                <w:rFonts w:ascii="Times New Roman" w:hAnsi="Times New Roman"/>
                <w:sz w:val="24"/>
                <w:szCs w:val="24"/>
                <w:lang w:val="uk-UA"/>
              </w:rPr>
              <w:t>перехоплюючої</w:t>
            </w:r>
            <w:proofErr w:type="spellEnd"/>
            <w:r w:rsidRPr="00C70E2C">
              <w:rPr>
                <w:rFonts w:ascii="Times New Roman" w:hAnsi="Times New Roman"/>
                <w:sz w:val="24"/>
                <w:szCs w:val="24"/>
                <w:lang w:val="uk-UA"/>
              </w:rPr>
              <w:t xml:space="preserve"> автостоянки</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80</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80</w:t>
            </w:r>
          </w:p>
        </w:tc>
      </w:tr>
      <w:tr w:rsidR="009E4A4A" w:rsidRPr="00C70E2C" w:rsidTr="003E2C2D">
        <w:trPr>
          <w:trHeight w:val="510"/>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Будівництво автостоянок для тимчасового зберігання електрокарів та велосипедів</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6</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6</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Благоустрій, озеленення</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4,8</w:t>
            </w: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23,68</w:t>
            </w: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3,52</w:t>
            </w: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32</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Озеленення території</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17,2</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17,2</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Влаштування газонів</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6,6</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6,6</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sz w:val="24"/>
                <w:szCs w:val="24"/>
                <w:lang w:val="uk-UA"/>
              </w:rPr>
            </w:pPr>
            <w:r w:rsidRPr="00C70E2C">
              <w:rPr>
                <w:rFonts w:ascii="Times New Roman" w:hAnsi="Times New Roman"/>
                <w:sz w:val="24"/>
                <w:szCs w:val="24"/>
                <w:lang w:val="uk-UA"/>
              </w:rPr>
              <w:t>Влаштування пішохідних доріжок</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8,2</w:t>
            </w: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sz w:val="24"/>
                <w:szCs w:val="24"/>
                <w:lang w:val="uk-UA"/>
              </w:rPr>
            </w:pPr>
            <w:r w:rsidRPr="00C70E2C">
              <w:rPr>
                <w:rFonts w:ascii="Times New Roman" w:hAnsi="Times New Roman"/>
                <w:sz w:val="24"/>
                <w:szCs w:val="24"/>
                <w:lang w:val="uk-UA"/>
              </w:rPr>
              <w:t>8,2</w:t>
            </w:r>
          </w:p>
        </w:tc>
      </w:tr>
      <w:tr w:rsidR="009E4A4A" w:rsidRPr="00C70E2C" w:rsidTr="003E2C2D">
        <w:trPr>
          <w:trHeight w:val="255"/>
        </w:trPr>
        <w:tc>
          <w:tcPr>
            <w:tcW w:w="1623" w:type="pct"/>
            <w:tcBorders>
              <w:top w:val="nil"/>
              <w:left w:val="single" w:sz="4" w:space="0" w:color="auto"/>
              <w:bottom w:val="single" w:sz="4" w:space="0" w:color="auto"/>
              <w:right w:val="single" w:sz="4" w:space="0" w:color="auto"/>
            </w:tcBorders>
            <w:vAlign w:val="bottom"/>
          </w:tcPr>
          <w:p w:rsidR="009E4A4A" w:rsidRPr="00C70E2C" w:rsidRDefault="009E4A4A" w:rsidP="003E2C2D">
            <w:pPr>
              <w:spacing w:after="0" w:line="240" w:lineRule="auto"/>
              <w:rPr>
                <w:rFonts w:ascii="Times New Roman" w:hAnsi="Times New Roman"/>
                <w:b/>
                <w:bCs/>
                <w:sz w:val="24"/>
                <w:szCs w:val="24"/>
                <w:lang w:val="uk-UA"/>
              </w:rPr>
            </w:pPr>
            <w:r w:rsidRPr="00C70E2C">
              <w:rPr>
                <w:rFonts w:ascii="Times New Roman" w:hAnsi="Times New Roman"/>
                <w:b/>
                <w:bCs/>
                <w:sz w:val="24"/>
                <w:szCs w:val="24"/>
                <w:lang w:val="uk-UA"/>
              </w:rPr>
              <w:t>Всього</w:t>
            </w:r>
          </w:p>
        </w:tc>
        <w:tc>
          <w:tcPr>
            <w:tcW w:w="6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58"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561"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79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p>
        </w:tc>
        <w:tc>
          <w:tcPr>
            <w:tcW w:w="583" w:type="pct"/>
            <w:tcBorders>
              <w:top w:val="nil"/>
              <w:left w:val="nil"/>
              <w:bottom w:val="single" w:sz="4" w:space="0" w:color="auto"/>
              <w:right w:val="single" w:sz="4" w:space="0" w:color="auto"/>
            </w:tcBorders>
            <w:noWrap/>
            <w:vAlign w:val="bottom"/>
          </w:tcPr>
          <w:p w:rsidR="009E4A4A" w:rsidRPr="00C70E2C" w:rsidRDefault="009E4A4A" w:rsidP="003E2C2D">
            <w:pPr>
              <w:spacing w:after="0" w:line="240" w:lineRule="auto"/>
              <w:jc w:val="center"/>
              <w:rPr>
                <w:rFonts w:ascii="Times New Roman" w:hAnsi="Times New Roman"/>
                <w:b/>
                <w:bCs/>
                <w:sz w:val="24"/>
                <w:szCs w:val="24"/>
                <w:lang w:val="uk-UA"/>
              </w:rPr>
            </w:pPr>
            <w:r w:rsidRPr="00C70E2C">
              <w:rPr>
                <w:rFonts w:ascii="Times New Roman" w:hAnsi="Times New Roman"/>
                <w:b/>
                <w:bCs/>
                <w:sz w:val="24"/>
                <w:szCs w:val="24"/>
                <w:lang w:val="uk-UA"/>
              </w:rPr>
              <w:t>1992,925</w:t>
            </w:r>
          </w:p>
        </w:tc>
      </w:tr>
    </w:tbl>
    <w:p w:rsidR="009E4A4A" w:rsidRDefault="009E4A4A" w:rsidP="009E4A4A">
      <w:pPr>
        <w:pStyle w:val="rvps2"/>
        <w:spacing w:before="0" w:beforeAutospacing="0" w:after="0" w:afterAutospacing="0" w:line="360" w:lineRule="auto"/>
        <w:ind w:firstLine="720"/>
        <w:jc w:val="both"/>
        <w:rPr>
          <w:sz w:val="28"/>
          <w:szCs w:val="28"/>
          <w:lang w:val="uk-UA"/>
        </w:rPr>
      </w:pPr>
    </w:p>
    <w:p w:rsidR="009E4A4A" w:rsidRPr="004F2237" w:rsidRDefault="009E4A4A" w:rsidP="009E4A4A">
      <w:pPr>
        <w:pStyle w:val="rvps2"/>
        <w:spacing w:before="0" w:beforeAutospacing="0" w:after="0" w:afterAutospacing="0" w:line="360" w:lineRule="auto"/>
        <w:ind w:firstLine="720"/>
        <w:jc w:val="both"/>
        <w:rPr>
          <w:b/>
          <w:i/>
          <w:sz w:val="26"/>
          <w:szCs w:val="26"/>
          <w:lang w:val="uk-UA"/>
        </w:rPr>
      </w:pPr>
      <w:r w:rsidRPr="004F2237">
        <w:rPr>
          <w:i/>
          <w:sz w:val="26"/>
          <w:szCs w:val="26"/>
          <w:lang w:val="uk-UA"/>
        </w:rPr>
        <w:t xml:space="preserve">Загальні інвестиції держави в розвиток інженерних мереж та підготовку території складуть </w:t>
      </w:r>
      <w:r w:rsidRPr="004F2237">
        <w:rPr>
          <w:b/>
          <w:i/>
          <w:sz w:val="26"/>
          <w:szCs w:val="26"/>
          <w:lang w:val="uk-UA"/>
        </w:rPr>
        <w:t>1992,925 млн. грн.</w:t>
      </w:r>
    </w:p>
    <w:p w:rsidR="009E4A4A" w:rsidRDefault="009E4A4A" w:rsidP="009E4A4A">
      <w:pPr>
        <w:pStyle w:val="rvps2"/>
        <w:spacing w:before="0" w:beforeAutospacing="0" w:after="0" w:afterAutospacing="0" w:line="360" w:lineRule="auto"/>
        <w:ind w:firstLine="720"/>
        <w:jc w:val="center"/>
        <w:rPr>
          <w:i/>
          <w:sz w:val="28"/>
          <w:szCs w:val="28"/>
          <w:lang w:val="uk-UA"/>
        </w:rPr>
      </w:pPr>
    </w:p>
    <w:p w:rsidR="009E4A4A" w:rsidRPr="004F2237" w:rsidRDefault="009E4A4A" w:rsidP="009E4A4A">
      <w:pPr>
        <w:pStyle w:val="rvps2"/>
        <w:spacing w:before="0" w:beforeAutospacing="0" w:after="0" w:afterAutospacing="0" w:line="360" w:lineRule="auto"/>
        <w:ind w:firstLine="720"/>
        <w:jc w:val="center"/>
        <w:rPr>
          <w:i/>
          <w:sz w:val="26"/>
          <w:szCs w:val="26"/>
          <w:lang w:val="uk-UA"/>
        </w:rPr>
      </w:pPr>
      <w:r w:rsidRPr="004F2237">
        <w:rPr>
          <w:i/>
          <w:sz w:val="26"/>
          <w:szCs w:val="26"/>
          <w:lang w:val="uk-UA"/>
        </w:rPr>
        <w:t>Житлова забудова</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Проект створення Міжнародного реабілітаційного містечка «</w:t>
      </w:r>
      <w:proofErr w:type="spellStart"/>
      <w:r w:rsidRPr="004F2237">
        <w:rPr>
          <w:sz w:val="26"/>
          <w:szCs w:val="26"/>
          <w:lang w:val="uk-UA"/>
        </w:rPr>
        <w:t>ІnterMedical-EcoCity</w:t>
      </w:r>
      <w:proofErr w:type="spellEnd"/>
      <w:r w:rsidRPr="004F2237">
        <w:rPr>
          <w:sz w:val="26"/>
          <w:szCs w:val="26"/>
          <w:lang w:val="uk-UA"/>
        </w:rPr>
        <w:t xml:space="preserve">» передбачає створення нових робочих міст, а отже і необхідність забезпечення житлом спеціалістів та обслуговуючий персонал, який буде працювати на території містечка. Тому передбачається будівництво державою житла для забезпечення працюючих житловими умовами. Загальна вартість державних інвестицій на житлову забудову представлено в таблиці </w:t>
      </w:r>
      <w:r>
        <w:rPr>
          <w:sz w:val="26"/>
          <w:szCs w:val="26"/>
          <w:lang w:val="uk-UA"/>
        </w:rPr>
        <w:t>1.</w:t>
      </w:r>
      <w:r w:rsidRPr="004F2237">
        <w:rPr>
          <w:sz w:val="26"/>
          <w:szCs w:val="26"/>
          <w:lang w:val="uk-UA"/>
        </w:rPr>
        <w:t xml:space="preserve">9. </w:t>
      </w:r>
    </w:p>
    <w:p w:rsidR="009E4A4A" w:rsidRDefault="009E4A4A" w:rsidP="009E4A4A">
      <w:pPr>
        <w:pStyle w:val="rvps2"/>
        <w:spacing w:before="0" w:beforeAutospacing="0" w:after="0" w:afterAutospacing="0" w:line="360" w:lineRule="auto"/>
        <w:ind w:firstLine="720"/>
        <w:jc w:val="both"/>
        <w:rPr>
          <w:sz w:val="26"/>
          <w:szCs w:val="26"/>
          <w:lang w:val="uk-UA"/>
        </w:rPr>
      </w:pPr>
    </w:p>
    <w:p w:rsidR="009E4A4A" w:rsidRDefault="009E4A4A" w:rsidP="009E4A4A">
      <w:pPr>
        <w:pStyle w:val="rvps2"/>
        <w:spacing w:before="0" w:beforeAutospacing="0" w:after="0" w:afterAutospacing="0" w:line="360" w:lineRule="auto"/>
        <w:ind w:firstLine="720"/>
        <w:jc w:val="both"/>
        <w:rPr>
          <w:sz w:val="26"/>
          <w:szCs w:val="26"/>
          <w:lang w:val="uk-UA"/>
        </w:rPr>
      </w:pP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Таблиця </w:t>
      </w:r>
      <w:r>
        <w:rPr>
          <w:sz w:val="26"/>
          <w:szCs w:val="26"/>
          <w:lang w:val="uk-UA"/>
        </w:rPr>
        <w:t>1.</w:t>
      </w:r>
      <w:r w:rsidRPr="004F2237">
        <w:rPr>
          <w:sz w:val="26"/>
          <w:szCs w:val="26"/>
          <w:lang w:val="uk-UA"/>
        </w:rPr>
        <w:t>9 – Вартість житлової забудови</w:t>
      </w:r>
    </w:p>
    <w:tbl>
      <w:tblPr>
        <w:tblW w:w="0" w:type="auto"/>
        <w:tblLook w:val="0000"/>
      </w:tblPr>
      <w:tblGrid>
        <w:gridCol w:w="2557"/>
        <w:gridCol w:w="1366"/>
        <w:gridCol w:w="1666"/>
        <w:gridCol w:w="2467"/>
        <w:gridCol w:w="1515"/>
      </w:tblGrid>
      <w:tr w:rsidR="009E4A4A" w:rsidRPr="00C70E2C" w:rsidTr="003E2C2D">
        <w:trPr>
          <w:trHeight w:val="765"/>
        </w:trPr>
        <w:tc>
          <w:tcPr>
            <w:tcW w:w="0" w:type="auto"/>
            <w:tcBorders>
              <w:top w:val="single" w:sz="4" w:space="0" w:color="auto"/>
              <w:left w:val="single" w:sz="4" w:space="0" w:color="auto"/>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lastRenderedPageBreak/>
              <w:t>Найменування</w:t>
            </w:r>
          </w:p>
        </w:tc>
        <w:tc>
          <w:tcPr>
            <w:tcW w:w="0" w:type="auto"/>
            <w:tcBorders>
              <w:top w:val="single" w:sz="4" w:space="0" w:color="auto"/>
              <w:left w:val="nil"/>
              <w:bottom w:val="single" w:sz="4" w:space="0" w:color="auto"/>
              <w:right w:val="single" w:sz="4" w:space="0" w:color="auto"/>
            </w:tcBorders>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Будинки, од.</w:t>
            </w:r>
          </w:p>
        </w:tc>
        <w:tc>
          <w:tcPr>
            <w:tcW w:w="0" w:type="auto"/>
            <w:tcBorders>
              <w:top w:val="single" w:sz="4" w:space="0" w:color="auto"/>
              <w:left w:val="nil"/>
              <w:bottom w:val="single" w:sz="4" w:space="0" w:color="auto"/>
              <w:right w:val="single" w:sz="4" w:space="0" w:color="auto"/>
            </w:tcBorders>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 xml:space="preserve">Загальна площа, </w:t>
            </w:r>
            <w:proofErr w:type="spellStart"/>
            <w:r w:rsidRPr="00C70E2C">
              <w:rPr>
                <w:rFonts w:ascii="Times New Roman" w:hAnsi="Times New Roman"/>
                <w:sz w:val="26"/>
                <w:szCs w:val="26"/>
                <w:lang w:val="uk-UA"/>
              </w:rPr>
              <w:t>кв.м</w:t>
            </w:r>
            <w:proofErr w:type="spellEnd"/>
            <w:r w:rsidRPr="00C70E2C">
              <w:rPr>
                <w:rFonts w:ascii="Times New Roman" w:hAnsi="Times New Roman"/>
                <w:sz w:val="26"/>
                <w:szCs w:val="26"/>
                <w:lang w:val="uk-UA"/>
              </w:rPr>
              <w:t>.</w:t>
            </w:r>
          </w:p>
        </w:tc>
        <w:tc>
          <w:tcPr>
            <w:tcW w:w="0" w:type="auto"/>
            <w:tcBorders>
              <w:top w:val="single" w:sz="4" w:space="0" w:color="auto"/>
              <w:left w:val="nil"/>
              <w:bottom w:val="single" w:sz="4" w:space="0" w:color="auto"/>
              <w:right w:val="single" w:sz="4" w:space="0" w:color="auto"/>
            </w:tcBorders>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 xml:space="preserve">Вартість будівництва, </w:t>
            </w:r>
            <w:proofErr w:type="spellStart"/>
            <w:r w:rsidRPr="00C70E2C">
              <w:rPr>
                <w:rFonts w:ascii="Times New Roman" w:hAnsi="Times New Roman"/>
                <w:sz w:val="26"/>
                <w:szCs w:val="26"/>
                <w:lang w:val="uk-UA"/>
              </w:rPr>
              <w:t>тис.грн</w:t>
            </w:r>
            <w:proofErr w:type="spellEnd"/>
            <w:r w:rsidRPr="00C70E2C">
              <w:rPr>
                <w:rFonts w:ascii="Times New Roman" w:hAnsi="Times New Roman"/>
                <w:sz w:val="26"/>
                <w:szCs w:val="26"/>
                <w:lang w:val="uk-UA"/>
              </w:rPr>
              <w:t>./</w:t>
            </w:r>
            <w:proofErr w:type="spellStart"/>
            <w:r w:rsidRPr="00C70E2C">
              <w:rPr>
                <w:rFonts w:ascii="Times New Roman" w:hAnsi="Times New Roman"/>
                <w:sz w:val="26"/>
                <w:szCs w:val="26"/>
                <w:lang w:val="uk-UA"/>
              </w:rPr>
              <w:t>кв.м</w:t>
            </w:r>
            <w:proofErr w:type="spellEnd"/>
          </w:p>
        </w:tc>
        <w:tc>
          <w:tcPr>
            <w:tcW w:w="0" w:type="auto"/>
            <w:tcBorders>
              <w:top w:val="single" w:sz="4" w:space="0" w:color="auto"/>
              <w:left w:val="nil"/>
              <w:bottom w:val="single" w:sz="4" w:space="0" w:color="auto"/>
              <w:right w:val="single" w:sz="4" w:space="0" w:color="auto"/>
            </w:tcBorders>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 xml:space="preserve">Витрати, </w:t>
            </w:r>
            <w:proofErr w:type="spellStart"/>
            <w:r w:rsidRPr="00C70E2C">
              <w:rPr>
                <w:rFonts w:ascii="Times New Roman" w:hAnsi="Times New Roman"/>
                <w:sz w:val="26"/>
                <w:szCs w:val="26"/>
                <w:lang w:val="uk-UA"/>
              </w:rPr>
              <w:t>млн.грн</w:t>
            </w:r>
            <w:proofErr w:type="spellEnd"/>
          </w:p>
        </w:tc>
      </w:tr>
      <w:tr w:rsidR="009E4A4A" w:rsidRPr="00C70E2C" w:rsidTr="003E2C2D">
        <w:trPr>
          <w:trHeight w:val="255"/>
        </w:trPr>
        <w:tc>
          <w:tcPr>
            <w:tcW w:w="0" w:type="auto"/>
            <w:tcBorders>
              <w:top w:val="nil"/>
              <w:left w:val="single" w:sz="4" w:space="0" w:color="auto"/>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 xml:space="preserve">с. </w:t>
            </w:r>
            <w:proofErr w:type="spellStart"/>
            <w:r w:rsidRPr="00C70E2C">
              <w:rPr>
                <w:rFonts w:ascii="Times New Roman" w:hAnsi="Times New Roman"/>
                <w:sz w:val="26"/>
                <w:szCs w:val="26"/>
                <w:lang w:val="uk-UA"/>
              </w:rPr>
              <w:t>Щасливцеве</w:t>
            </w:r>
            <w:proofErr w:type="spellEnd"/>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 </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 </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 </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 </w:t>
            </w:r>
          </w:p>
        </w:tc>
      </w:tr>
      <w:tr w:rsidR="009E4A4A" w:rsidRPr="00C70E2C" w:rsidTr="003E2C2D">
        <w:trPr>
          <w:trHeight w:val="255"/>
        </w:trPr>
        <w:tc>
          <w:tcPr>
            <w:tcW w:w="0" w:type="auto"/>
            <w:tcBorders>
              <w:top w:val="nil"/>
              <w:left w:val="single" w:sz="4" w:space="0" w:color="auto"/>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постійне населення</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400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100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4,862</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194,48</w:t>
            </w:r>
          </w:p>
        </w:tc>
      </w:tr>
      <w:tr w:rsidR="009E4A4A" w:rsidRPr="00C70E2C" w:rsidTr="003E2C2D">
        <w:trPr>
          <w:trHeight w:val="255"/>
        </w:trPr>
        <w:tc>
          <w:tcPr>
            <w:tcW w:w="0" w:type="auto"/>
            <w:tcBorders>
              <w:top w:val="nil"/>
              <w:left w:val="single" w:sz="4" w:space="0" w:color="auto"/>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тимчасове населення</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380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100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4,862</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184,756</w:t>
            </w:r>
          </w:p>
        </w:tc>
      </w:tr>
      <w:tr w:rsidR="009E4A4A" w:rsidRPr="00C70E2C" w:rsidTr="003E2C2D">
        <w:trPr>
          <w:trHeight w:val="255"/>
        </w:trPr>
        <w:tc>
          <w:tcPr>
            <w:tcW w:w="0" w:type="auto"/>
            <w:tcBorders>
              <w:top w:val="nil"/>
              <w:left w:val="single" w:sz="4" w:space="0" w:color="auto"/>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 xml:space="preserve">с. </w:t>
            </w:r>
            <w:proofErr w:type="spellStart"/>
            <w:r w:rsidRPr="00C70E2C">
              <w:rPr>
                <w:rFonts w:ascii="Times New Roman" w:hAnsi="Times New Roman"/>
                <w:sz w:val="26"/>
                <w:szCs w:val="26"/>
                <w:lang w:val="uk-UA"/>
              </w:rPr>
              <w:t>Стрілкове</w:t>
            </w:r>
            <w:proofErr w:type="spellEnd"/>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p>
        </w:tc>
      </w:tr>
      <w:tr w:rsidR="009E4A4A" w:rsidRPr="00C70E2C" w:rsidTr="003E2C2D">
        <w:trPr>
          <w:trHeight w:val="255"/>
        </w:trPr>
        <w:tc>
          <w:tcPr>
            <w:tcW w:w="0" w:type="auto"/>
            <w:tcBorders>
              <w:top w:val="nil"/>
              <w:left w:val="single" w:sz="4" w:space="0" w:color="auto"/>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постійне населення</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300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100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4,862</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145,86</w:t>
            </w:r>
          </w:p>
        </w:tc>
      </w:tr>
      <w:tr w:rsidR="009E4A4A" w:rsidRPr="00C70E2C" w:rsidTr="003E2C2D">
        <w:trPr>
          <w:trHeight w:val="255"/>
        </w:trPr>
        <w:tc>
          <w:tcPr>
            <w:tcW w:w="0" w:type="auto"/>
            <w:tcBorders>
              <w:top w:val="nil"/>
              <w:left w:val="single" w:sz="4" w:space="0" w:color="auto"/>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sz w:val="26"/>
                <w:szCs w:val="26"/>
                <w:lang w:val="uk-UA"/>
              </w:rPr>
            </w:pPr>
            <w:r w:rsidRPr="00C70E2C">
              <w:rPr>
                <w:rFonts w:ascii="Times New Roman" w:hAnsi="Times New Roman"/>
                <w:sz w:val="26"/>
                <w:szCs w:val="26"/>
                <w:lang w:val="uk-UA"/>
              </w:rPr>
              <w:t>тимчасове населення</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460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100</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4,862</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sz w:val="26"/>
                <w:szCs w:val="26"/>
                <w:lang w:val="uk-UA"/>
              </w:rPr>
            </w:pPr>
            <w:r w:rsidRPr="00C70E2C">
              <w:rPr>
                <w:rFonts w:ascii="Times New Roman" w:hAnsi="Times New Roman"/>
                <w:sz w:val="26"/>
                <w:szCs w:val="26"/>
                <w:lang w:val="uk-UA"/>
              </w:rPr>
              <w:t>223,652</w:t>
            </w:r>
          </w:p>
        </w:tc>
      </w:tr>
      <w:tr w:rsidR="009E4A4A" w:rsidRPr="00C70E2C" w:rsidTr="003E2C2D">
        <w:trPr>
          <w:trHeight w:val="255"/>
        </w:trPr>
        <w:tc>
          <w:tcPr>
            <w:tcW w:w="0" w:type="auto"/>
            <w:tcBorders>
              <w:top w:val="nil"/>
              <w:left w:val="single" w:sz="4" w:space="0" w:color="auto"/>
              <w:bottom w:val="single" w:sz="4" w:space="0" w:color="auto"/>
              <w:right w:val="single" w:sz="4" w:space="0" w:color="auto"/>
            </w:tcBorders>
            <w:noWrap/>
          </w:tcPr>
          <w:p w:rsidR="009E4A4A" w:rsidRPr="00C70E2C" w:rsidRDefault="009E4A4A" w:rsidP="003E2C2D">
            <w:pPr>
              <w:spacing w:after="0" w:line="240" w:lineRule="auto"/>
              <w:rPr>
                <w:rFonts w:ascii="Times New Roman" w:hAnsi="Times New Roman"/>
                <w:bCs/>
                <w:sz w:val="26"/>
                <w:szCs w:val="26"/>
                <w:lang w:val="uk-UA"/>
              </w:rPr>
            </w:pPr>
            <w:r w:rsidRPr="00C70E2C">
              <w:rPr>
                <w:rFonts w:ascii="Times New Roman" w:hAnsi="Times New Roman"/>
                <w:bCs/>
                <w:sz w:val="26"/>
                <w:szCs w:val="26"/>
                <w:lang w:val="uk-UA"/>
              </w:rPr>
              <w:t>Всього</w:t>
            </w: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bCs/>
                <w:sz w:val="26"/>
                <w:szCs w:val="26"/>
                <w:lang w:val="uk-UA"/>
              </w:rPr>
            </w:pP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bCs/>
                <w:sz w:val="26"/>
                <w:szCs w:val="26"/>
                <w:lang w:val="uk-UA"/>
              </w:rPr>
            </w:pP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bCs/>
                <w:sz w:val="26"/>
                <w:szCs w:val="26"/>
                <w:lang w:val="uk-UA"/>
              </w:rPr>
            </w:pPr>
          </w:p>
        </w:tc>
        <w:tc>
          <w:tcPr>
            <w:tcW w:w="0" w:type="auto"/>
            <w:tcBorders>
              <w:top w:val="nil"/>
              <w:left w:val="nil"/>
              <w:bottom w:val="single" w:sz="4" w:space="0" w:color="auto"/>
              <w:right w:val="single" w:sz="4" w:space="0" w:color="auto"/>
            </w:tcBorders>
            <w:noWrap/>
          </w:tcPr>
          <w:p w:rsidR="009E4A4A" w:rsidRPr="00C70E2C" w:rsidRDefault="009E4A4A" w:rsidP="003E2C2D">
            <w:pPr>
              <w:spacing w:after="0" w:line="240" w:lineRule="auto"/>
              <w:jc w:val="center"/>
              <w:rPr>
                <w:rFonts w:ascii="Times New Roman" w:hAnsi="Times New Roman"/>
                <w:b/>
                <w:bCs/>
                <w:sz w:val="26"/>
                <w:szCs w:val="26"/>
                <w:lang w:val="uk-UA"/>
              </w:rPr>
            </w:pPr>
            <w:r w:rsidRPr="00C70E2C">
              <w:rPr>
                <w:rFonts w:ascii="Times New Roman" w:hAnsi="Times New Roman"/>
                <w:b/>
                <w:bCs/>
                <w:sz w:val="26"/>
                <w:szCs w:val="26"/>
                <w:lang w:val="uk-UA"/>
              </w:rPr>
              <w:t>748,748</w:t>
            </w:r>
          </w:p>
        </w:tc>
      </w:tr>
    </w:tbl>
    <w:p w:rsidR="009E4A4A" w:rsidRPr="004F2237" w:rsidRDefault="009E4A4A" w:rsidP="009E4A4A">
      <w:pPr>
        <w:pStyle w:val="rvps2"/>
        <w:spacing w:before="0" w:beforeAutospacing="0" w:after="0" w:afterAutospacing="0" w:line="360" w:lineRule="auto"/>
        <w:ind w:firstLine="720"/>
        <w:jc w:val="both"/>
        <w:rPr>
          <w:i/>
          <w:sz w:val="26"/>
          <w:szCs w:val="26"/>
          <w:lang w:val="uk-UA"/>
        </w:rPr>
      </w:pPr>
      <w:r w:rsidRPr="004F2237">
        <w:rPr>
          <w:i/>
          <w:sz w:val="26"/>
          <w:szCs w:val="26"/>
          <w:lang w:val="uk-UA"/>
        </w:rPr>
        <w:t xml:space="preserve">Інвестиції держави в житлову забудову складуть </w:t>
      </w:r>
      <w:r w:rsidRPr="004F2237">
        <w:rPr>
          <w:b/>
          <w:i/>
          <w:sz w:val="26"/>
          <w:szCs w:val="26"/>
          <w:lang w:val="uk-UA"/>
        </w:rPr>
        <w:t>748,748 млн. грн</w:t>
      </w:r>
      <w:r w:rsidRPr="004F2237">
        <w:rPr>
          <w:i/>
          <w:sz w:val="26"/>
          <w:szCs w:val="26"/>
          <w:lang w:val="uk-UA"/>
        </w:rPr>
        <w:t>.</w:t>
      </w:r>
    </w:p>
    <w:p w:rsidR="009E4A4A" w:rsidRPr="004F2237" w:rsidRDefault="009E4A4A" w:rsidP="009E4A4A">
      <w:pPr>
        <w:pStyle w:val="rvps2"/>
        <w:spacing w:before="0" w:beforeAutospacing="0" w:after="0" w:afterAutospacing="0" w:line="360" w:lineRule="auto"/>
        <w:ind w:firstLine="720"/>
        <w:jc w:val="center"/>
        <w:rPr>
          <w:i/>
          <w:sz w:val="26"/>
          <w:szCs w:val="26"/>
          <w:lang w:val="uk-UA"/>
        </w:rPr>
      </w:pPr>
    </w:p>
    <w:p w:rsidR="009E4A4A" w:rsidRPr="004F2237" w:rsidRDefault="009E4A4A" w:rsidP="009E4A4A">
      <w:pPr>
        <w:pStyle w:val="rvps2"/>
        <w:spacing w:before="0" w:beforeAutospacing="0" w:after="0" w:afterAutospacing="0" w:line="360" w:lineRule="auto"/>
        <w:ind w:firstLine="720"/>
        <w:jc w:val="center"/>
        <w:rPr>
          <w:b/>
          <w:i/>
          <w:sz w:val="26"/>
          <w:szCs w:val="26"/>
          <w:lang w:val="uk-UA"/>
        </w:rPr>
      </w:pPr>
      <w:r w:rsidRPr="004F2237">
        <w:rPr>
          <w:b/>
          <w:i/>
          <w:sz w:val="26"/>
          <w:szCs w:val="26"/>
          <w:lang w:val="uk-UA"/>
        </w:rPr>
        <w:t>Загальна прогнозна вартість проекту</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Загальна прогнозна вартість проекту створення Міжнародного реабілітаційного містечка «</w:t>
      </w:r>
      <w:proofErr w:type="spellStart"/>
      <w:r w:rsidRPr="004F2237">
        <w:rPr>
          <w:sz w:val="26"/>
          <w:szCs w:val="26"/>
          <w:lang w:val="uk-UA"/>
        </w:rPr>
        <w:t>ІnterMedical-EcoCity</w:t>
      </w:r>
      <w:proofErr w:type="spellEnd"/>
      <w:r w:rsidRPr="004F2237">
        <w:rPr>
          <w:sz w:val="26"/>
          <w:szCs w:val="26"/>
          <w:lang w:val="uk-UA"/>
        </w:rPr>
        <w:t xml:space="preserve">» представлена в таблиці </w:t>
      </w:r>
      <w:r>
        <w:rPr>
          <w:sz w:val="26"/>
          <w:szCs w:val="26"/>
          <w:lang w:val="uk-UA"/>
        </w:rPr>
        <w:t>1.</w:t>
      </w:r>
      <w:r w:rsidRPr="004F2237">
        <w:rPr>
          <w:sz w:val="26"/>
          <w:szCs w:val="26"/>
          <w:lang w:val="uk-UA"/>
        </w:rPr>
        <w:t>10.</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sz w:val="26"/>
          <w:szCs w:val="26"/>
          <w:lang w:val="uk-UA"/>
        </w:rPr>
        <w:t xml:space="preserve">Таблиця </w:t>
      </w:r>
      <w:r>
        <w:rPr>
          <w:sz w:val="26"/>
          <w:szCs w:val="26"/>
          <w:lang w:val="uk-UA"/>
        </w:rPr>
        <w:t>1.</w:t>
      </w:r>
      <w:r w:rsidRPr="004F2237">
        <w:rPr>
          <w:sz w:val="26"/>
          <w:szCs w:val="26"/>
          <w:lang w:val="uk-UA"/>
        </w:rPr>
        <w:t>10 – Загальна вартість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E4A4A" w:rsidRPr="00C70E2C" w:rsidTr="003E2C2D">
        <w:tc>
          <w:tcPr>
            <w:tcW w:w="3190" w:type="dxa"/>
            <w:vMerge w:val="restart"/>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Напрям інвестування</w:t>
            </w:r>
          </w:p>
        </w:tc>
        <w:tc>
          <w:tcPr>
            <w:tcW w:w="6381" w:type="dxa"/>
            <w:gridSpan w:val="2"/>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Джерело надходження інвестицій, млн. грн.</w:t>
            </w:r>
          </w:p>
        </w:tc>
      </w:tr>
      <w:tr w:rsidR="009E4A4A" w:rsidRPr="00C70E2C" w:rsidTr="003E2C2D">
        <w:tc>
          <w:tcPr>
            <w:tcW w:w="3190" w:type="dxa"/>
            <w:vMerge/>
            <w:shd w:val="clear" w:color="auto" w:fill="auto"/>
          </w:tcPr>
          <w:p w:rsidR="009E4A4A" w:rsidRPr="00796277" w:rsidRDefault="009E4A4A" w:rsidP="003E2C2D">
            <w:pPr>
              <w:pStyle w:val="rvps2"/>
              <w:spacing w:before="0" w:beforeAutospacing="0" w:after="0" w:afterAutospacing="0" w:line="360" w:lineRule="auto"/>
              <w:jc w:val="both"/>
              <w:rPr>
                <w:sz w:val="26"/>
                <w:szCs w:val="26"/>
                <w:lang w:val="uk-UA"/>
              </w:rPr>
            </w:pPr>
          </w:p>
        </w:tc>
        <w:tc>
          <w:tcPr>
            <w:tcW w:w="3190" w:type="dxa"/>
            <w:shd w:val="clear" w:color="auto" w:fill="auto"/>
          </w:tcPr>
          <w:p w:rsidR="009E4A4A" w:rsidRPr="00796277" w:rsidRDefault="009E4A4A" w:rsidP="003E2C2D">
            <w:pPr>
              <w:pStyle w:val="rvps2"/>
              <w:spacing w:before="0" w:beforeAutospacing="0" w:after="0" w:afterAutospacing="0" w:line="360" w:lineRule="auto"/>
              <w:jc w:val="center"/>
              <w:rPr>
                <w:b/>
                <w:sz w:val="26"/>
                <w:szCs w:val="26"/>
                <w:lang w:val="uk-UA"/>
              </w:rPr>
            </w:pPr>
            <w:r w:rsidRPr="00796277">
              <w:rPr>
                <w:b/>
                <w:sz w:val="26"/>
                <w:szCs w:val="26"/>
                <w:lang w:val="uk-UA"/>
              </w:rPr>
              <w:t>Держава</w:t>
            </w:r>
          </w:p>
        </w:tc>
        <w:tc>
          <w:tcPr>
            <w:tcW w:w="3191" w:type="dxa"/>
            <w:shd w:val="clear" w:color="auto" w:fill="auto"/>
          </w:tcPr>
          <w:p w:rsidR="009E4A4A" w:rsidRPr="00796277" w:rsidRDefault="009E4A4A" w:rsidP="003E2C2D">
            <w:pPr>
              <w:pStyle w:val="rvps2"/>
              <w:spacing w:before="0" w:beforeAutospacing="0" w:after="0" w:afterAutospacing="0" w:line="360" w:lineRule="auto"/>
              <w:jc w:val="center"/>
              <w:rPr>
                <w:b/>
                <w:sz w:val="26"/>
                <w:szCs w:val="26"/>
                <w:lang w:val="uk-UA"/>
              </w:rPr>
            </w:pPr>
            <w:r w:rsidRPr="00796277">
              <w:rPr>
                <w:b/>
                <w:sz w:val="26"/>
                <w:szCs w:val="26"/>
                <w:lang w:val="uk-UA"/>
              </w:rPr>
              <w:t>Приватний інвестор</w:t>
            </w:r>
          </w:p>
        </w:tc>
      </w:tr>
      <w:tr w:rsidR="009E4A4A" w:rsidRPr="00C70E2C" w:rsidTr="003E2C2D">
        <w:tc>
          <w:tcPr>
            <w:tcW w:w="3190" w:type="dxa"/>
            <w:shd w:val="clear" w:color="auto" w:fill="auto"/>
          </w:tcPr>
          <w:p w:rsidR="009E4A4A" w:rsidRPr="00796277" w:rsidRDefault="009E4A4A" w:rsidP="003E2C2D">
            <w:pPr>
              <w:pStyle w:val="rvps2"/>
              <w:spacing w:before="0" w:beforeAutospacing="0" w:after="0" w:afterAutospacing="0" w:line="360" w:lineRule="auto"/>
              <w:jc w:val="both"/>
              <w:rPr>
                <w:sz w:val="26"/>
                <w:szCs w:val="26"/>
                <w:lang w:val="uk-UA"/>
              </w:rPr>
            </w:pPr>
            <w:r w:rsidRPr="00796277">
              <w:rPr>
                <w:sz w:val="26"/>
                <w:szCs w:val="26"/>
                <w:lang w:val="uk-UA"/>
              </w:rPr>
              <w:t>Оздоровча зона</w:t>
            </w:r>
          </w:p>
        </w:tc>
        <w:tc>
          <w:tcPr>
            <w:tcW w:w="3190"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138,292</w:t>
            </w:r>
          </w:p>
        </w:tc>
        <w:tc>
          <w:tcPr>
            <w:tcW w:w="3191"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809,998</w:t>
            </w:r>
          </w:p>
        </w:tc>
      </w:tr>
      <w:tr w:rsidR="009E4A4A" w:rsidRPr="00C70E2C" w:rsidTr="003E2C2D">
        <w:tc>
          <w:tcPr>
            <w:tcW w:w="3190" w:type="dxa"/>
            <w:shd w:val="clear" w:color="auto" w:fill="auto"/>
          </w:tcPr>
          <w:p w:rsidR="009E4A4A" w:rsidRPr="00796277" w:rsidRDefault="009E4A4A" w:rsidP="003E2C2D">
            <w:pPr>
              <w:pStyle w:val="rvps2"/>
              <w:spacing w:before="0" w:beforeAutospacing="0" w:after="0" w:afterAutospacing="0" w:line="360" w:lineRule="auto"/>
              <w:jc w:val="both"/>
              <w:rPr>
                <w:sz w:val="26"/>
                <w:szCs w:val="26"/>
                <w:lang w:val="uk-UA"/>
              </w:rPr>
            </w:pPr>
            <w:r w:rsidRPr="00796277">
              <w:rPr>
                <w:sz w:val="26"/>
                <w:szCs w:val="26"/>
                <w:lang w:val="uk-UA"/>
              </w:rPr>
              <w:t>Оздоровчо-рекреаційна</w:t>
            </w:r>
          </w:p>
        </w:tc>
        <w:tc>
          <w:tcPr>
            <w:tcW w:w="3190"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w:t>
            </w:r>
          </w:p>
        </w:tc>
        <w:tc>
          <w:tcPr>
            <w:tcW w:w="3191"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4498,84</w:t>
            </w:r>
          </w:p>
        </w:tc>
      </w:tr>
      <w:tr w:rsidR="009E4A4A" w:rsidRPr="00C70E2C" w:rsidTr="003E2C2D">
        <w:tc>
          <w:tcPr>
            <w:tcW w:w="3190" w:type="dxa"/>
            <w:shd w:val="clear" w:color="auto" w:fill="auto"/>
          </w:tcPr>
          <w:p w:rsidR="009E4A4A" w:rsidRPr="00796277" w:rsidRDefault="009E4A4A" w:rsidP="003E2C2D">
            <w:pPr>
              <w:pStyle w:val="rvps2"/>
              <w:spacing w:before="0" w:beforeAutospacing="0" w:after="0" w:afterAutospacing="0" w:line="360" w:lineRule="auto"/>
              <w:jc w:val="both"/>
              <w:rPr>
                <w:sz w:val="26"/>
                <w:szCs w:val="26"/>
                <w:lang w:val="uk-UA"/>
              </w:rPr>
            </w:pPr>
            <w:r w:rsidRPr="00796277">
              <w:rPr>
                <w:sz w:val="26"/>
                <w:szCs w:val="26"/>
                <w:lang w:val="uk-UA"/>
              </w:rPr>
              <w:t>Парково-громадська</w:t>
            </w:r>
          </w:p>
        </w:tc>
        <w:tc>
          <w:tcPr>
            <w:tcW w:w="3190"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w:t>
            </w:r>
          </w:p>
        </w:tc>
        <w:tc>
          <w:tcPr>
            <w:tcW w:w="3191"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139,05</w:t>
            </w:r>
          </w:p>
        </w:tc>
      </w:tr>
      <w:tr w:rsidR="009E4A4A" w:rsidRPr="00C70E2C" w:rsidTr="003E2C2D">
        <w:tc>
          <w:tcPr>
            <w:tcW w:w="3190" w:type="dxa"/>
            <w:shd w:val="clear" w:color="auto" w:fill="auto"/>
          </w:tcPr>
          <w:p w:rsidR="009E4A4A" w:rsidRPr="00796277" w:rsidRDefault="009E4A4A" w:rsidP="003E2C2D">
            <w:pPr>
              <w:pStyle w:val="rvps2"/>
              <w:spacing w:before="0" w:beforeAutospacing="0" w:after="0" w:afterAutospacing="0" w:line="360" w:lineRule="auto"/>
              <w:jc w:val="both"/>
              <w:rPr>
                <w:sz w:val="26"/>
                <w:szCs w:val="26"/>
                <w:lang w:val="uk-UA"/>
              </w:rPr>
            </w:pPr>
            <w:r w:rsidRPr="00796277">
              <w:rPr>
                <w:sz w:val="26"/>
                <w:szCs w:val="26"/>
                <w:lang w:val="uk-UA"/>
              </w:rPr>
              <w:t>Житлова забудова</w:t>
            </w:r>
          </w:p>
        </w:tc>
        <w:tc>
          <w:tcPr>
            <w:tcW w:w="3190"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748,748</w:t>
            </w:r>
          </w:p>
        </w:tc>
        <w:tc>
          <w:tcPr>
            <w:tcW w:w="3191" w:type="dxa"/>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w:t>
            </w:r>
          </w:p>
        </w:tc>
      </w:tr>
      <w:tr w:rsidR="009E4A4A" w:rsidRPr="00C70E2C" w:rsidTr="003E2C2D">
        <w:tc>
          <w:tcPr>
            <w:tcW w:w="3190" w:type="dxa"/>
            <w:shd w:val="clear" w:color="auto" w:fill="auto"/>
          </w:tcPr>
          <w:p w:rsidR="009E4A4A" w:rsidRPr="00796277" w:rsidRDefault="009E4A4A" w:rsidP="003E2C2D">
            <w:pPr>
              <w:pStyle w:val="rvps2"/>
              <w:spacing w:before="0" w:beforeAutospacing="0" w:after="0" w:afterAutospacing="0"/>
              <w:jc w:val="both"/>
              <w:rPr>
                <w:sz w:val="26"/>
                <w:szCs w:val="26"/>
                <w:lang w:val="uk-UA"/>
              </w:rPr>
            </w:pPr>
            <w:r w:rsidRPr="00796277">
              <w:rPr>
                <w:sz w:val="26"/>
                <w:szCs w:val="26"/>
                <w:lang w:val="uk-UA"/>
              </w:rPr>
              <w:t>Підготовка території та інженерні мережі</w:t>
            </w:r>
          </w:p>
        </w:tc>
        <w:tc>
          <w:tcPr>
            <w:tcW w:w="3190" w:type="dxa"/>
            <w:shd w:val="clear" w:color="auto" w:fill="auto"/>
          </w:tcPr>
          <w:p w:rsidR="009E4A4A" w:rsidRPr="00796277" w:rsidRDefault="009E4A4A" w:rsidP="003E2C2D">
            <w:pPr>
              <w:pStyle w:val="rvps2"/>
              <w:spacing w:before="0" w:beforeAutospacing="0" w:after="0" w:afterAutospacing="0"/>
              <w:jc w:val="center"/>
              <w:rPr>
                <w:sz w:val="26"/>
                <w:szCs w:val="26"/>
                <w:lang w:val="uk-UA"/>
              </w:rPr>
            </w:pPr>
            <w:r w:rsidRPr="00796277">
              <w:rPr>
                <w:sz w:val="26"/>
                <w:szCs w:val="26"/>
                <w:lang w:val="uk-UA"/>
              </w:rPr>
              <w:t>1992,925</w:t>
            </w:r>
          </w:p>
        </w:tc>
        <w:tc>
          <w:tcPr>
            <w:tcW w:w="3191" w:type="dxa"/>
            <w:shd w:val="clear" w:color="auto" w:fill="auto"/>
          </w:tcPr>
          <w:p w:rsidR="009E4A4A" w:rsidRPr="00796277" w:rsidRDefault="009E4A4A" w:rsidP="003E2C2D">
            <w:pPr>
              <w:pStyle w:val="rvps2"/>
              <w:spacing w:before="0" w:beforeAutospacing="0" w:after="0" w:afterAutospacing="0"/>
              <w:jc w:val="center"/>
              <w:rPr>
                <w:sz w:val="26"/>
                <w:szCs w:val="26"/>
                <w:lang w:val="uk-UA"/>
              </w:rPr>
            </w:pPr>
            <w:r w:rsidRPr="00796277">
              <w:rPr>
                <w:sz w:val="26"/>
                <w:szCs w:val="26"/>
                <w:lang w:val="uk-UA"/>
              </w:rPr>
              <w:t>-</w:t>
            </w:r>
          </w:p>
        </w:tc>
      </w:tr>
      <w:tr w:rsidR="009E4A4A" w:rsidRPr="00C70E2C" w:rsidTr="003E2C2D">
        <w:tc>
          <w:tcPr>
            <w:tcW w:w="3190" w:type="dxa"/>
            <w:vMerge w:val="restart"/>
            <w:shd w:val="clear" w:color="auto" w:fill="auto"/>
          </w:tcPr>
          <w:p w:rsidR="009E4A4A" w:rsidRPr="00796277" w:rsidRDefault="009E4A4A" w:rsidP="003E2C2D">
            <w:pPr>
              <w:pStyle w:val="rvps2"/>
              <w:spacing w:before="0" w:beforeAutospacing="0" w:after="0" w:afterAutospacing="0" w:line="360" w:lineRule="auto"/>
              <w:jc w:val="center"/>
              <w:rPr>
                <w:sz w:val="26"/>
                <w:szCs w:val="26"/>
                <w:lang w:val="uk-UA"/>
              </w:rPr>
            </w:pPr>
            <w:r w:rsidRPr="00796277">
              <w:rPr>
                <w:sz w:val="26"/>
                <w:szCs w:val="26"/>
                <w:lang w:val="uk-UA"/>
              </w:rPr>
              <w:t>Всього</w:t>
            </w:r>
          </w:p>
        </w:tc>
        <w:tc>
          <w:tcPr>
            <w:tcW w:w="3190" w:type="dxa"/>
            <w:shd w:val="clear" w:color="auto" w:fill="auto"/>
          </w:tcPr>
          <w:p w:rsidR="009E4A4A" w:rsidRPr="00796277" w:rsidRDefault="009E4A4A" w:rsidP="003E2C2D">
            <w:pPr>
              <w:pStyle w:val="rvps2"/>
              <w:spacing w:before="0" w:beforeAutospacing="0" w:after="0" w:afterAutospacing="0" w:line="360" w:lineRule="auto"/>
              <w:jc w:val="center"/>
              <w:rPr>
                <w:b/>
                <w:sz w:val="26"/>
                <w:szCs w:val="26"/>
                <w:lang w:val="uk-UA"/>
              </w:rPr>
            </w:pPr>
            <w:r w:rsidRPr="00796277">
              <w:rPr>
                <w:b/>
                <w:sz w:val="26"/>
                <w:szCs w:val="26"/>
                <w:lang w:val="uk-UA"/>
              </w:rPr>
              <w:t>2879,965</w:t>
            </w:r>
          </w:p>
        </w:tc>
        <w:tc>
          <w:tcPr>
            <w:tcW w:w="3191" w:type="dxa"/>
            <w:shd w:val="clear" w:color="auto" w:fill="auto"/>
          </w:tcPr>
          <w:p w:rsidR="009E4A4A" w:rsidRPr="00796277" w:rsidRDefault="009E4A4A" w:rsidP="003E2C2D">
            <w:pPr>
              <w:pStyle w:val="rvps2"/>
              <w:spacing w:before="0" w:beforeAutospacing="0" w:after="0" w:afterAutospacing="0" w:line="360" w:lineRule="auto"/>
              <w:jc w:val="center"/>
              <w:rPr>
                <w:b/>
                <w:sz w:val="26"/>
                <w:szCs w:val="26"/>
                <w:lang w:val="uk-UA"/>
              </w:rPr>
            </w:pPr>
            <w:r w:rsidRPr="00796277">
              <w:rPr>
                <w:b/>
                <w:sz w:val="26"/>
                <w:szCs w:val="26"/>
                <w:lang w:val="uk-UA"/>
              </w:rPr>
              <w:t>5447,888</w:t>
            </w:r>
          </w:p>
        </w:tc>
      </w:tr>
      <w:tr w:rsidR="009E4A4A" w:rsidRPr="00C70E2C" w:rsidTr="003E2C2D">
        <w:tc>
          <w:tcPr>
            <w:tcW w:w="3190" w:type="dxa"/>
            <w:vMerge/>
            <w:shd w:val="clear" w:color="auto" w:fill="auto"/>
          </w:tcPr>
          <w:p w:rsidR="009E4A4A" w:rsidRPr="00796277" w:rsidRDefault="009E4A4A" w:rsidP="003E2C2D">
            <w:pPr>
              <w:pStyle w:val="rvps2"/>
              <w:spacing w:before="0" w:beforeAutospacing="0" w:after="0" w:afterAutospacing="0" w:line="360" w:lineRule="auto"/>
              <w:jc w:val="both"/>
              <w:rPr>
                <w:sz w:val="26"/>
                <w:szCs w:val="26"/>
                <w:lang w:val="uk-UA"/>
              </w:rPr>
            </w:pPr>
          </w:p>
        </w:tc>
        <w:tc>
          <w:tcPr>
            <w:tcW w:w="6381" w:type="dxa"/>
            <w:gridSpan w:val="2"/>
            <w:shd w:val="clear" w:color="auto" w:fill="auto"/>
          </w:tcPr>
          <w:p w:rsidR="009E4A4A" w:rsidRPr="00796277" w:rsidRDefault="009E4A4A" w:rsidP="003E2C2D">
            <w:pPr>
              <w:pStyle w:val="rvps2"/>
              <w:spacing w:before="0" w:beforeAutospacing="0" w:after="0" w:afterAutospacing="0" w:line="360" w:lineRule="auto"/>
              <w:jc w:val="center"/>
              <w:rPr>
                <w:b/>
                <w:sz w:val="26"/>
                <w:szCs w:val="26"/>
                <w:lang w:val="uk-UA"/>
              </w:rPr>
            </w:pPr>
            <w:r w:rsidRPr="00796277">
              <w:rPr>
                <w:b/>
                <w:sz w:val="26"/>
                <w:szCs w:val="26"/>
                <w:lang w:val="uk-UA"/>
              </w:rPr>
              <w:t>8327,853</w:t>
            </w:r>
          </w:p>
        </w:tc>
      </w:tr>
    </w:tbl>
    <w:p w:rsidR="009E4A4A" w:rsidRDefault="009E4A4A" w:rsidP="009E4A4A">
      <w:pPr>
        <w:pStyle w:val="rvps2"/>
        <w:spacing w:before="0" w:beforeAutospacing="0" w:after="0" w:afterAutospacing="0" w:line="360" w:lineRule="auto"/>
        <w:ind w:firstLine="720"/>
        <w:jc w:val="both"/>
        <w:rPr>
          <w:sz w:val="26"/>
          <w:szCs w:val="26"/>
          <w:lang w:val="uk-UA"/>
        </w:rPr>
      </w:pPr>
    </w:p>
    <w:p w:rsidR="009E4A4A" w:rsidRPr="004F2237" w:rsidRDefault="009E4A4A" w:rsidP="009E4A4A">
      <w:pPr>
        <w:pStyle w:val="rvps2"/>
        <w:spacing w:before="0" w:beforeAutospacing="0" w:after="0" w:afterAutospacing="0" w:line="360" w:lineRule="auto"/>
        <w:ind w:firstLine="720"/>
        <w:jc w:val="both"/>
        <w:rPr>
          <w:b/>
          <w:sz w:val="26"/>
          <w:szCs w:val="26"/>
          <w:lang w:val="uk-UA"/>
        </w:rPr>
      </w:pPr>
      <w:r w:rsidRPr="004F2237">
        <w:rPr>
          <w:sz w:val="26"/>
          <w:szCs w:val="26"/>
          <w:lang w:val="uk-UA"/>
        </w:rPr>
        <w:t xml:space="preserve">Отже, </w:t>
      </w:r>
      <w:r w:rsidRPr="004F2237">
        <w:rPr>
          <w:i/>
          <w:sz w:val="26"/>
          <w:szCs w:val="26"/>
          <w:lang w:val="uk-UA"/>
        </w:rPr>
        <w:t>для розбудови та розвитку Міжнародного реабілітаційного містечка «</w:t>
      </w:r>
      <w:proofErr w:type="spellStart"/>
      <w:r w:rsidRPr="004F2237">
        <w:rPr>
          <w:i/>
          <w:sz w:val="26"/>
          <w:szCs w:val="26"/>
          <w:lang w:val="uk-UA"/>
        </w:rPr>
        <w:t>ІnterMedical-EcoCity</w:t>
      </w:r>
      <w:proofErr w:type="spellEnd"/>
      <w:r w:rsidRPr="004F2237">
        <w:rPr>
          <w:sz w:val="26"/>
          <w:szCs w:val="26"/>
          <w:lang w:val="uk-UA"/>
        </w:rPr>
        <w:t xml:space="preserve">» необхідно </w:t>
      </w:r>
      <w:r w:rsidRPr="004F2237">
        <w:rPr>
          <w:b/>
          <w:sz w:val="26"/>
          <w:szCs w:val="26"/>
          <w:lang w:val="uk-UA"/>
        </w:rPr>
        <w:t>8327,853 млн. грн.,</w:t>
      </w:r>
      <w:r w:rsidRPr="004F2237">
        <w:rPr>
          <w:sz w:val="26"/>
          <w:szCs w:val="26"/>
          <w:lang w:val="uk-UA"/>
        </w:rPr>
        <w:t xml:space="preserve"> структура інвестиційних витрат на створення Міжнародного реабілітаційного містечка «</w:t>
      </w:r>
      <w:proofErr w:type="spellStart"/>
      <w:r w:rsidRPr="004F2237">
        <w:rPr>
          <w:sz w:val="26"/>
          <w:szCs w:val="26"/>
          <w:lang w:val="uk-UA"/>
        </w:rPr>
        <w:t>ІnterMedical-EcoCity</w:t>
      </w:r>
      <w:proofErr w:type="spellEnd"/>
      <w:r w:rsidRPr="004F2237">
        <w:rPr>
          <w:sz w:val="26"/>
          <w:szCs w:val="26"/>
          <w:lang w:val="uk-UA"/>
        </w:rPr>
        <w:t xml:space="preserve">» наступна: </w:t>
      </w:r>
      <w:r w:rsidRPr="004F2237">
        <w:rPr>
          <w:b/>
          <w:sz w:val="26"/>
          <w:szCs w:val="26"/>
          <w:lang w:val="uk-UA"/>
        </w:rPr>
        <w:t>державні інвестиції – 34,6%, приватні інвестиції – 65,4%.</w:t>
      </w:r>
    </w:p>
    <w:p w:rsidR="009E4A4A" w:rsidRPr="004F2237" w:rsidRDefault="009E4A4A" w:rsidP="009E4A4A">
      <w:pPr>
        <w:pStyle w:val="rvps2"/>
        <w:spacing w:before="0" w:beforeAutospacing="0" w:after="0" w:afterAutospacing="0" w:line="360" w:lineRule="auto"/>
        <w:ind w:firstLine="720"/>
        <w:jc w:val="both"/>
        <w:rPr>
          <w:sz w:val="26"/>
          <w:szCs w:val="26"/>
          <w:lang w:val="uk-UA"/>
        </w:rPr>
      </w:pPr>
      <w:r w:rsidRPr="004F2237">
        <w:rPr>
          <w:b/>
          <w:i/>
          <w:sz w:val="26"/>
          <w:szCs w:val="26"/>
          <w:lang w:val="uk-UA"/>
        </w:rPr>
        <w:t>Напрями використання державних інвестицій</w:t>
      </w:r>
      <w:r w:rsidRPr="004F2237">
        <w:rPr>
          <w:sz w:val="26"/>
          <w:szCs w:val="26"/>
          <w:lang w:val="uk-UA"/>
        </w:rPr>
        <w:t xml:space="preserve">: капітальне будівництво на розширене відтворення основних фондів і об’єктів соціальної інфраструктури. Наголосимо, що такі напрями державних інвестицій, як освоєння альтернативних джерел енергії та впровадження нового обладнання для високоякісного медичного </w:t>
      </w:r>
      <w:r w:rsidRPr="004F2237">
        <w:rPr>
          <w:sz w:val="26"/>
          <w:szCs w:val="26"/>
          <w:lang w:val="uk-UA"/>
        </w:rPr>
        <w:lastRenderedPageBreak/>
        <w:t>обслуговування, є пріоритетними напрямами, відповідно до Постанови КМУ</w:t>
      </w:r>
      <w:r w:rsidRPr="004F2237">
        <w:rPr>
          <w:rStyle w:val="a5"/>
          <w:sz w:val="26"/>
          <w:szCs w:val="26"/>
          <w:lang w:val="uk-UA"/>
        </w:rPr>
        <w:footnoteReference w:id="2"/>
      </w:r>
      <w:r w:rsidRPr="004F2237">
        <w:rPr>
          <w:sz w:val="26"/>
          <w:szCs w:val="26"/>
          <w:lang w:val="uk-UA"/>
        </w:rPr>
        <w:t xml:space="preserve"> від 17.05.2012 року.</w:t>
      </w:r>
    </w:p>
    <w:p w:rsidR="00000000" w:rsidRPr="009E4A4A" w:rsidRDefault="009E4A4A">
      <w:pPr>
        <w:rPr>
          <w:lang w:val="uk-UA"/>
        </w:rPr>
      </w:pPr>
    </w:p>
    <w:sectPr w:rsidR="00000000" w:rsidRPr="009E4A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4A" w:rsidRDefault="009E4A4A" w:rsidP="009E4A4A">
      <w:pPr>
        <w:spacing w:after="0" w:line="240" w:lineRule="auto"/>
      </w:pPr>
      <w:r>
        <w:separator/>
      </w:r>
    </w:p>
  </w:endnote>
  <w:endnote w:type="continuationSeparator" w:id="1">
    <w:p w:rsidR="009E4A4A" w:rsidRDefault="009E4A4A" w:rsidP="009E4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4A" w:rsidRDefault="009E4A4A" w:rsidP="009E4A4A">
      <w:pPr>
        <w:spacing w:after="0" w:line="240" w:lineRule="auto"/>
      </w:pPr>
      <w:r>
        <w:separator/>
      </w:r>
    </w:p>
  </w:footnote>
  <w:footnote w:type="continuationSeparator" w:id="1">
    <w:p w:rsidR="009E4A4A" w:rsidRDefault="009E4A4A" w:rsidP="009E4A4A">
      <w:pPr>
        <w:spacing w:after="0" w:line="240" w:lineRule="auto"/>
      </w:pPr>
      <w:r>
        <w:continuationSeparator/>
      </w:r>
    </w:p>
  </w:footnote>
  <w:footnote w:id="2">
    <w:p w:rsidR="009E4A4A" w:rsidRPr="003B42C3" w:rsidRDefault="009E4A4A" w:rsidP="009E4A4A">
      <w:pPr>
        <w:pStyle w:val="rvps2"/>
        <w:jc w:val="both"/>
        <w:rPr>
          <w:sz w:val="28"/>
          <w:szCs w:val="28"/>
          <w:lang w:val="uk-UA"/>
        </w:rPr>
      </w:pPr>
      <w:r>
        <w:rPr>
          <w:rStyle w:val="a5"/>
        </w:rPr>
        <w:footnoteRef/>
      </w:r>
      <w:r>
        <w:t xml:space="preserve"> </w:t>
      </w:r>
      <w:r>
        <w:rPr>
          <w:lang w:val="uk-UA"/>
        </w:rPr>
        <w:t xml:space="preserve">Постанова Кабінету Міністрів України від 17.05.2012 року </w:t>
      </w:r>
      <w:r>
        <w:rPr>
          <w:sz w:val="28"/>
          <w:szCs w:val="28"/>
          <w:lang w:val="uk-UA"/>
        </w:rPr>
        <w:t>№ 397</w:t>
      </w:r>
      <w:r>
        <w:rPr>
          <w:lang w:val="uk-UA"/>
        </w:rPr>
        <w:t xml:space="preserve"> «Деякі питання визначення середньострокових пріоритетних напрямів інноваційної діяльності галузевого рівня на 2012-2016 роки» // </w:t>
      </w:r>
      <w:r w:rsidRPr="003B42C3">
        <w:rPr>
          <w:lang w:val="uk-UA"/>
        </w:rPr>
        <w:t>http://zakon4.rada.gov.ua/laws/show/397-2012-%D0%BF</w:t>
      </w:r>
    </w:p>
    <w:p w:rsidR="009E4A4A" w:rsidRPr="003D217F" w:rsidRDefault="009E4A4A" w:rsidP="009E4A4A">
      <w:pPr>
        <w:pStyle w:val="a3"/>
        <w:rPr>
          <w:lang w:val="uk-UA"/>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useFELayout/>
  </w:compat>
  <w:rsids>
    <w:rsidRoot w:val="009E4A4A"/>
    <w:rsid w:val="009E4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E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9E4A4A"/>
  </w:style>
  <w:style w:type="paragraph" w:styleId="a3">
    <w:name w:val="footnote text"/>
    <w:basedOn w:val="a"/>
    <w:link w:val="a4"/>
    <w:uiPriority w:val="99"/>
    <w:semiHidden/>
    <w:unhideWhenUsed/>
    <w:rsid w:val="009E4A4A"/>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9E4A4A"/>
    <w:rPr>
      <w:rFonts w:ascii="Calibri" w:eastAsia="Calibri" w:hAnsi="Calibri" w:cs="Times New Roman"/>
      <w:sz w:val="20"/>
      <w:szCs w:val="20"/>
      <w:lang w:eastAsia="en-US"/>
    </w:rPr>
  </w:style>
  <w:style w:type="character" w:styleId="a5">
    <w:name w:val="footnote reference"/>
    <w:uiPriority w:val="99"/>
    <w:semiHidden/>
    <w:unhideWhenUsed/>
    <w:rsid w:val="009E4A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2013-08-08T10:03:00Z</dcterms:created>
  <dcterms:modified xsi:type="dcterms:W3CDTF">2013-08-08T10:03:00Z</dcterms:modified>
</cp:coreProperties>
</file>