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69" w:rsidRDefault="00274F69" w:rsidP="00274F69">
      <w:pPr>
        <w:spacing w:line="360" w:lineRule="auto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D65C35">
        <w:rPr>
          <w:rFonts w:ascii="Times New Roman" w:hAnsi="Times New Roman"/>
          <w:b/>
          <w:sz w:val="26"/>
          <w:szCs w:val="26"/>
          <w:lang w:val="uk-UA"/>
        </w:rPr>
        <w:t>4.2.4.</w:t>
      </w:r>
      <w:r w:rsidRPr="00D65C35">
        <w:rPr>
          <w:rFonts w:ascii="Times New Roman" w:hAnsi="Times New Roman"/>
          <w:b/>
          <w:sz w:val="26"/>
          <w:szCs w:val="26"/>
          <w:lang w:val="uk-UA"/>
        </w:rPr>
        <w:tab/>
        <w:t>Визначення наявності існуючих та планування розвитку перспективних комунікацій</w:t>
      </w:r>
    </w:p>
    <w:p w:rsidR="00274F69" w:rsidRPr="001C3699" w:rsidRDefault="00274F69" w:rsidP="00274F69">
      <w:pPr>
        <w:keepNext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b/>
          <w:i/>
          <w:color w:val="000000"/>
          <w:sz w:val="26"/>
          <w:szCs w:val="26"/>
          <w:lang w:val="uk-UA"/>
        </w:rPr>
        <w:t>Зовнішній транспорт</w:t>
      </w:r>
    </w:p>
    <w:p w:rsidR="00274F69" w:rsidRPr="001C3699" w:rsidRDefault="00274F69" w:rsidP="00274F69">
      <w:pPr>
        <w:spacing w:after="0" w:line="360" w:lineRule="auto"/>
        <w:jc w:val="center"/>
        <w:rPr>
          <w:rFonts w:ascii="Times New Roman" w:hAnsi="Times New Roman"/>
          <w:i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i/>
          <w:color w:val="000000"/>
          <w:sz w:val="26"/>
          <w:szCs w:val="26"/>
          <w:lang w:val="uk-UA"/>
        </w:rPr>
        <w:t>Автомобільні дороги</w:t>
      </w:r>
    </w:p>
    <w:p w:rsidR="00274F69" w:rsidRPr="001C369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Обслуговування території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» буде виконуватись по існуючим автомобільним дорогам державного значення: </w:t>
      </w:r>
    </w:p>
    <w:p w:rsidR="00274F69" w:rsidRDefault="00274F69" w:rsidP="00274F69">
      <w:pPr>
        <w:pStyle w:val="a3"/>
        <w:numPr>
          <w:ilvl w:val="0"/>
          <w:numId w:val="1"/>
        </w:numPr>
        <w:tabs>
          <w:tab w:val="clear" w:pos="360"/>
          <w:tab w:val="num" w:pos="-6946"/>
        </w:tabs>
        <w:spacing w:after="0" w:line="360" w:lineRule="auto"/>
        <w:ind w:left="142"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Міжнародній М–18 сполученням Харків – Сімферополь – Алушта – Ялта. Траса автомобільної дороги співпадає з трасою міжнародної європейської магістралі Е105 Москва-Орел-Харків-Сімферополь-Алушта-Ялта. Проїзна частина дороги відповідає параметрам ІІ технічної категорії. Автомобільна дорога зв’яже Російську Федерацію та східні області України з територією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»;</w:t>
      </w:r>
    </w:p>
    <w:p w:rsidR="00274F69" w:rsidRPr="001C3699" w:rsidRDefault="00274F69" w:rsidP="00274F69">
      <w:pPr>
        <w:pStyle w:val="a3"/>
        <w:numPr>
          <w:ilvl w:val="0"/>
          <w:numId w:val="1"/>
        </w:numPr>
        <w:tabs>
          <w:tab w:val="clear" w:pos="360"/>
        </w:tabs>
        <w:spacing w:after="0" w:line="360" w:lineRule="auto"/>
        <w:ind w:left="142"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Р</w:t>
      </w: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егіональній Р–47 сполученням Херсон – Нова Каховка – Генічеськ. Автомобільна дорога співпадає з трасою міжнародного транспортного коридору, що передбачений до реконструкції </w:t>
      </w:r>
      <w:r w:rsidRPr="001C3699">
        <w:rPr>
          <w:rFonts w:ascii="Times New Roman" w:hAnsi="Times New Roman"/>
          <w:i/>
          <w:color w:val="000000"/>
          <w:sz w:val="26"/>
          <w:szCs w:val="26"/>
          <w:lang w:val="uk-UA"/>
        </w:rPr>
        <w:t>Євроазіатський</w:t>
      </w: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Одеса – Миколаїв – Херсон – Джанкой – Керч. Автомобільна дорога зв’яже територію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» з центральними та західними областями України. </w:t>
      </w:r>
    </w:p>
    <w:p w:rsidR="00274F69" w:rsidRPr="001C369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Безпосередньо через територію Арабатської стрілки проходить автомобільна дорога місцевого значення О220706 Генічеськ –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Стрілкове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. Дорога має IV технічну категорію.</w:t>
      </w:r>
    </w:p>
    <w:p w:rsidR="00274F69" w:rsidRPr="001C369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На перспективу при будівництві території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» передбачений ряд заходів з розвитку автомобільних доріг:</w:t>
      </w:r>
    </w:p>
    <w:p w:rsidR="00274F69" w:rsidRPr="001C3699" w:rsidRDefault="00274F69" w:rsidP="00274F69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будівництво територіальної дороги державного значення, яка пройде від м. Генічеськ вздовж всієї Арабатської стрілки з подальшим будівництво автомобільного мосту через затоку Сиваш в районі с.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Стрілкове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та виходом на автомобільну дорогу державного значення М-18. Автомобільна дорога запроектована за параметрами ІІ технічної категорії з шириною проїзної частини </w:t>
      </w:r>
      <w:smartTag w:uri="urn:schemas-microsoft-com:office:smarttags" w:element="metricconverter">
        <w:smartTagPr>
          <w:attr w:name="ProductID" w:val="15,0 м"/>
        </w:smartTagPr>
        <w:r w:rsidRPr="001C3699">
          <w:rPr>
            <w:rFonts w:ascii="Times New Roman" w:hAnsi="Times New Roman"/>
            <w:color w:val="000000"/>
            <w:sz w:val="26"/>
            <w:szCs w:val="26"/>
            <w:lang w:val="uk-UA"/>
          </w:rPr>
          <w:t>15,0 м</w:t>
        </w:r>
      </w:smartTag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та пройде поза територіями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», селищами Генічеська Гірка та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Стрілкове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. Будівництво автомобільного мосту через затоку Сиваш дозволить значно зменшити час проїзду від міжнародного аеропорту «Сімферополь» до території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».</w:t>
      </w:r>
    </w:p>
    <w:p w:rsidR="00274F69" w:rsidRPr="001C3699" w:rsidRDefault="00274F69" w:rsidP="00274F69">
      <w:pPr>
        <w:numPr>
          <w:ilvl w:val="0"/>
          <w:numId w:val="2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lastRenderedPageBreak/>
        <w:t xml:space="preserve">реконструкція автомобільних доріг державного значення М-18 Харків – Сімферополь – Алушта – Ялта та Р–47 Херсон – Нова Каховка – Генічеськ за параметрами І технічної категорії з шириною проїзної частини </w:t>
      </w:r>
      <w:smartTag w:uri="urn:schemas-microsoft-com:office:smarttags" w:element="metricconverter">
        <w:smartTagPr>
          <w:attr w:name="ProductID" w:val="15,0 м"/>
        </w:smartTagPr>
        <w:r w:rsidRPr="001C3699">
          <w:rPr>
            <w:rFonts w:ascii="Times New Roman" w:hAnsi="Times New Roman"/>
            <w:color w:val="000000"/>
            <w:sz w:val="26"/>
            <w:szCs w:val="26"/>
            <w:lang w:val="uk-UA"/>
          </w:rPr>
          <w:t>15,0 м</w:t>
        </w:r>
      </w:smartTag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274F69" w:rsidRPr="001C369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Існуюча автомобільна дорога місцевого значення О220706 Генічеськ –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Стрілкове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буде виконувати функції внутрішньо курортної та передбачено майже повністю вивільнити її від зовнішнього транспорту (окрім транспорту екстрених служб). </w:t>
      </w:r>
    </w:p>
    <w:p w:rsidR="00274F69" w:rsidRPr="00745BEE" w:rsidRDefault="00274F69" w:rsidP="00274F69">
      <w:pPr>
        <w:keepNext/>
        <w:spacing w:after="0" w:line="360" w:lineRule="auto"/>
        <w:jc w:val="center"/>
        <w:rPr>
          <w:rFonts w:ascii="Times New Roman" w:hAnsi="Times New Roman"/>
          <w:i/>
          <w:color w:val="000000"/>
          <w:sz w:val="26"/>
          <w:szCs w:val="26"/>
          <w:lang w:val="uk-UA"/>
        </w:rPr>
      </w:pPr>
      <w:r w:rsidRPr="00745BEE">
        <w:rPr>
          <w:rFonts w:ascii="Times New Roman" w:hAnsi="Times New Roman"/>
          <w:i/>
          <w:color w:val="000000"/>
          <w:sz w:val="26"/>
          <w:szCs w:val="26"/>
          <w:lang w:val="uk-UA"/>
        </w:rPr>
        <w:t>Залізничний транспорт</w:t>
      </w:r>
    </w:p>
    <w:p w:rsidR="00274F69" w:rsidRPr="001C369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Обслуговування території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» залізничним транспортом передбачено залізничною станцією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Новоолексіївка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, яка розташована на двоколійній електрифікованій залізничний лінії Мелітополь – Джанкой.</w:t>
      </w:r>
    </w:p>
    <w:p w:rsidR="00274F69" w:rsidRPr="001C369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Крім того, відповідно до Концепції створення та функціонування національної мережі транспортних коридорів в Україна залізнична лінія Мелітополь – Джанкой є ділянкою залізничного транспортного коридору ЧЕС з відгалуженням – Рені – Ізмаїл – Одеса –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Колосівка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– Помічна – Знам’янка – Дніпропетровськ –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Ясинувата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–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Квашине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, Харків – Синельникове – Джанкой – Сімферополь – Севастополь,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Колосівка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– Миколаїв – Херсон – Чаплине – Бердянськ. В зв’язку з цим передбачена модернізація залізничної лінії та будівництво третьої колії на ділянці Мелітополь – Джанкой – Сімферополь. Зазначені заходи сприятимуть збільшенню кількість відпочивальників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», які приїжджатимуть з південних областей України.</w:t>
      </w:r>
    </w:p>
    <w:p w:rsidR="00274F69" w:rsidRPr="001C369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На більш далеку перспективу (після початку функціонування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») для підвезення відпочивальників до території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» передбачено організувати наземну лінію легких та безшумних електропоїздів типу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Радан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», яка пройде від залізничної станції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Новоолексіївка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до території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». На лінії передбачено організувати зупинки: в районі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ст.Новолексіївка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, аеропорт «Генічеськ», біля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перехоплюючої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автостоянки на в’їзді до Арабатської стрілка та кінцева зупинка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». Проходження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Радану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» по території Арабатської стрілки передбачено вздовж проектної територіальної автомобільної дороги державного значення.</w:t>
      </w:r>
    </w:p>
    <w:p w:rsidR="00274F69" w:rsidRPr="001C3699" w:rsidRDefault="00274F69" w:rsidP="00274F69">
      <w:pPr>
        <w:keepNext/>
        <w:spacing w:after="0" w:line="360" w:lineRule="auto"/>
        <w:jc w:val="center"/>
        <w:rPr>
          <w:rFonts w:ascii="Times New Roman" w:hAnsi="Times New Roman"/>
          <w:i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i/>
          <w:color w:val="000000"/>
          <w:sz w:val="26"/>
          <w:szCs w:val="26"/>
          <w:lang w:val="uk-UA"/>
        </w:rPr>
        <w:lastRenderedPageBreak/>
        <w:t>Повітряний транспорт</w:t>
      </w:r>
    </w:p>
    <w:p w:rsidR="00274F69" w:rsidRPr="001C369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Повітряні зв’язки території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» будуть виконуватись міжнародним аеропортом «Сімферополь», новим аеропортом місцевого значення «Генічеськ» та гелікоптерами. </w:t>
      </w:r>
    </w:p>
    <w:p w:rsidR="00274F69" w:rsidRPr="001C369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Прийом відпочивальників з різних міст світу передбачено міжнародним аеропортом «Сімферополь». Доставка відпочивальників до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» буде відбуватися автомобільним транспортом (по автомобільній дорозі М-18 та новому мосту через затоку Сиваш) та гелікоптерами. </w:t>
      </w:r>
    </w:p>
    <w:p w:rsidR="00274F69" w:rsidRPr="001C369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Крім того, на більш далеку перспективу (після початку функціонування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») прийом відпочивальників з України передбачено аеропортом місцевого значення «Генічеськ», який передбачено збудувати в північній частині зони впливу м. Генічеськ на території колишнього аеродрому. Доставка відпочивальників до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» буде здійснюватись гелікоптерами (безпосередньо з аеропорту «Генічеськ») та електропоїздами лінії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Радан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».</w:t>
      </w:r>
    </w:p>
    <w:p w:rsidR="00274F69" w:rsidRPr="001C369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Також для вирішення питання повітряного сполучення між територією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Eco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» та основними населеними пунктами області та аеропортами, передбачено розміщення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гелікоптерних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майданчиків, які забезпечать налагоджену роботу аварійно-рятувальних, медичних, санітарних служб та надання сервісного обслуговування відпочивальникам.</w:t>
      </w:r>
    </w:p>
    <w:p w:rsidR="00274F69" w:rsidRPr="001C3699" w:rsidRDefault="00274F69" w:rsidP="00274F69">
      <w:pPr>
        <w:keepNext/>
        <w:spacing w:after="0" w:line="360" w:lineRule="auto"/>
        <w:jc w:val="center"/>
        <w:rPr>
          <w:rFonts w:ascii="Times New Roman" w:hAnsi="Times New Roman"/>
          <w:i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i/>
          <w:color w:val="000000"/>
          <w:sz w:val="26"/>
          <w:szCs w:val="26"/>
          <w:lang w:val="uk-UA"/>
        </w:rPr>
        <w:t>Морський транспорт</w:t>
      </w:r>
    </w:p>
    <w:p w:rsidR="00274F69" w:rsidRPr="001C369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По морському транспорту передбачено будівництво нового причалу для прийому суден безпосередньо на території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». </w:t>
      </w:r>
    </w:p>
    <w:p w:rsidR="00274F69" w:rsidRPr="001C369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Крім того, передбачено організаці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ю</w:t>
      </w: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зв’язків нового причалу з морськими портами Запорізької та Донецької області, а також з портами АР Крим, для перевезення відпочивальників.</w:t>
      </w:r>
    </w:p>
    <w:p w:rsidR="00274F69" w:rsidRPr="001C3699" w:rsidRDefault="00274F69" w:rsidP="00274F69">
      <w:pPr>
        <w:keepNext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</w:p>
    <w:p w:rsidR="00274F69" w:rsidRPr="001C3699" w:rsidRDefault="00274F69" w:rsidP="00274F69">
      <w:pPr>
        <w:keepNext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b/>
          <w:i/>
          <w:color w:val="000000"/>
          <w:sz w:val="26"/>
          <w:szCs w:val="26"/>
          <w:lang w:val="uk-UA"/>
        </w:rPr>
        <w:t>Внутрішній транспорт</w:t>
      </w:r>
    </w:p>
    <w:p w:rsidR="00274F69" w:rsidRPr="001C369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На перспективу територію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» планується майже повністю вивільнити від транспорту (залишити лише транспорт екстрених служб: міліція, швидка допомога, пожежна), який погіршує екологічний стан. Обслуговування </w:t>
      </w: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lastRenderedPageBreak/>
        <w:t>відпочивальників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» буде виконуватись електротранспортом та велосипедами.</w:t>
      </w:r>
    </w:p>
    <w:p w:rsidR="00274F69" w:rsidRPr="001C369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Для забезпечення необхідного рівня безпеки руху електротранспорту,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велотранспорту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та пішоходів передбачається організація наземних пішохідних переходів на перехрестях та у фокусах формування пішохідного руху відповідно до нормативних показників і розміткою типу «Зебра».</w:t>
      </w:r>
    </w:p>
    <w:p w:rsidR="00274F69" w:rsidRPr="001C369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Кількість місць зберігання автотранспорту визначається виходячи з специфіки зони (що проектується), кількості відпочивальників, наявності обслуговуючого персоналу та очікуваного рівня автомобілізації.</w:t>
      </w:r>
    </w:p>
    <w:p w:rsidR="00274F69" w:rsidRPr="001C369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Для постійного зберігання індивідуальних легкових автомобілів відпочивальників та обслуговуючого персоналу (</w:t>
      </w:r>
      <w:r w:rsidRPr="001C3699">
        <w:rPr>
          <w:rFonts w:ascii="Times New Roman" w:hAnsi="Times New Roman"/>
          <w:i/>
          <w:color w:val="000000"/>
          <w:sz w:val="26"/>
          <w:szCs w:val="26"/>
          <w:lang w:val="uk-UA"/>
        </w:rPr>
        <w:t>територія оздоровчо-рекреаційної та оздоровчої зони</w:t>
      </w: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) передбачено будівництво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перехоплюючої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автостоянки (багатоповерхового гаражу) на в’їзді – виїзді з Арабатської стрілки загальною кількістю 2200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машиномісць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(в максимально літній сезон). Поруч з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перехоплюючою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автостоянкою передбачено будівництво зупинки електропоїзда лінії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Радан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», для зручної пересадки з одного виду транспорту на інший.</w:t>
      </w:r>
    </w:p>
    <w:p w:rsidR="00274F69" w:rsidRPr="001C369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Обслуговування відпочивальників всередині території «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IntermedicalEcoCity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» буде виконуватись електрокарами місткістю 4-6 місць. Зберігання електрокарів буде здійснюватись на територіях рекреаційних установ.</w:t>
      </w:r>
    </w:p>
    <w:p w:rsidR="00274F6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Передбачено організацію стоянок для тимчасового зберігання електротранспорту (електрокарів) та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велотранспорту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біля громадських будинків та споруд масового відвідування. Нижче в таблиці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4.10 </w:t>
      </w:r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наведений розрахунок кількості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машиномісць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для тимчасового зберігання електротранспорту та </w:t>
      </w:r>
      <w:proofErr w:type="spellStart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>веломісць</w:t>
      </w:r>
      <w:proofErr w:type="spellEnd"/>
      <w:r w:rsidRPr="001C3699">
        <w:rPr>
          <w:rFonts w:ascii="Times New Roman" w:hAnsi="Times New Roman"/>
          <w:color w:val="000000"/>
          <w:sz w:val="26"/>
          <w:szCs w:val="26"/>
          <w:lang w:val="uk-UA"/>
        </w:rPr>
        <w:t xml:space="preserve"> для зберігання велосипедів.</w:t>
      </w:r>
    </w:p>
    <w:p w:rsidR="00274F69" w:rsidRPr="001C369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Таблиця 4.10 – Розрахунок кількості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машиномісць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для тимчасового зберігання електротранспорту та 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uk-UA"/>
        </w:rPr>
        <w:t>веломісць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для зберігання велосипедів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1642"/>
        <w:gridCol w:w="1630"/>
        <w:gridCol w:w="1338"/>
        <w:gridCol w:w="1566"/>
      </w:tblGrid>
      <w:tr w:rsidR="00274F69" w:rsidRPr="00462E12" w:rsidTr="00382E6B">
        <w:trPr>
          <w:trHeight w:val="765"/>
          <w:tblHeader/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установ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Кількість машино-місць (електрокари)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pageBreakBefore/>
              <w:spacing w:before="20" w:after="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uk-UA"/>
              </w:rPr>
            </w:pPr>
            <w:r w:rsidRPr="00462E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Загальна площа (під електрокари), м</w:t>
            </w:r>
            <w:r w:rsidRPr="00462E12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pageBreakBefore/>
              <w:spacing w:before="20" w:after="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462E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Кількість </w:t>
            </w:r>
            <w:proofErr w:type="spellStart"/>
            <w:r w:rsidRPr="00462E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веломісць</w:t>
            </w:r>
            <w:proofErr w:type="spellEnd"/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pageBreakBefore/>
              <w:spacing w:before="20" w:after="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uk-UA"/>
              </w:rPr>
            </w:pPr>
            <w:r w:rsidRPr="00462E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Загальна площа (під велосипеди), м</w:t>
            </w:r>
            <w:r w:rsidRPr="00462E12">
              <w:rPr>
                <w:rFonts w:ascii="Times New Roman" w:hAnsi="Times New Roman"/>
                <w:b/>
                <w:sz w:val="20"/>
                <w:szCs w:val="20"/>
                <w:vertAlign w:val="superscript"/>
                <w:lang w:val="uk-UA"/>
              </w:rPr>
              <w:t>2</w:t>
            </w:r>
          </w:p>
        </w:tc>
      </w:tr>
      <w:tr w:rsidR="00274F69" w:rsidRPr="00462E12" w:rsidTr="00382E6B">
        <w:trPr>
          <w:trHeight w:val="297"/>
          <w:jc w:val="center"/>
        </w:trPr>
        <w:tc>
          <w:tcPr>
            <w:tcW w:w="9523" w:type="dxa"/>
            <w:gridSpan w:val="5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І. Оздоровчо-рекреаційна зона</w:t>
            </w:r>
          </w:p>
        </w:tc>
      </w:tr>
      <w:tr w:rsidR="00274F69" w:rsidRPr="00462E12" w:rsidTr="00382E6B">
        <w:trPr>
          <w:trHeight w:val="765"/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Адміністративний будинок з бібліотекою, галереєю та виставковими залами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</w:tr>
      <w:tr w:rsidR="00274F69" w:rsidRPr="00462E12" w:rsidTr="00382E6B">
        <w:trPr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Культові споруди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</w:tr>
      <w:tr w:rsidR="00274F69" w:rsidRPr="00462E12" w:rsidTr="00382E6B">
        <w:trPr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Універсальний видовищно-</w:t>
            </w: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розважальний центр (амфітеатр)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1800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</w:tr>
      <w:tr w:rsidR="00274F69" w:rsidRPr="00462E12" w:rsidTr="00382E6B">
        <w:trPr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Терми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</w:tr>
      <w:tr w:rsidR="00274F69" w:rsidRPr="00462E12" w:rsidTr="00382E6B">
        <w:trPr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Спортивний клуб (на півдні)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</w:tr>
      <w:tr w:rsidR="00274F69" w:rsidRPr="00462E12" w:rsidTr="00382E6B">
        <w:trPr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Спортивний кантрі-клуб (на півночі)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</w:tr>
      <w:tr w:rsidR="00274F69" w:rsidRPr="00462E12" w:rsidTr="00382E6B">
        <w:trPr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Яхт-клуб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</w:tr>
      <w:tr w:rsidR="00274F69" w:rsidRPr="00462E12" w:rsidTr="00382E6B">
        <w:trPr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4 торгових комплекси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4×30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4×360=1440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4×15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4×18=72</w:t>
            </w:r>
          </w:p>
        </w:tc>
      </w:tr>
      <w:tr w:rsidR="00274F69" w:rsidRPr="00462E12" w:rsidTr="00382E6B">
        <w:trPr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Медичний коледж на 500 учнів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360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274F69" w:rsidRPr="00462E12" w:rsidTr="00382E6B">
        <w:trPr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Етно-комплекси</w:t>
            </w:r>
            <w:proofErr w:type="spellEnd"/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550 місць (зона №1)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2×100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2×1200=2400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2×60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2×72=144</w:t>
            </w:r>
          </w:p>
        </w:tc>
      </w:tr>
      <w:tr w:rsidR="00274F69" w:rsidRPr="00462E12" w:rsidTr="00382E6B">
        <w:trPr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Етно-комплекси</w:t>
            </w:r>
            <w:proofErr w:type="spellEnd"/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200 місць (зона №2)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2×100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2×1200=2400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2×60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2×72=144</w:t>
            </w:r>
          </w:p>
        </w:tc>
      </w:tr>
      <w:tr w:rsidR="00274F69" w:rsidRPr="00462E12" w:rsidTr="00382E6B">
        <w:trPr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Диско-клуби</w:t>
            </w:r>
            <w:proofErr w:type="spellEnd"/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(3 клуби по 200 місць)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3×30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3×360=1080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3×15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3×18=54</w:t>
            </w:r>
          </w:p>
        </w:tc>
      </w:tr>
      <w:tr w:rsidR="00274F69" w:rsidRPr="00462E12" w:rsidTr="00382E6B">
        <w:trPr>
          <w:trHeight w:val="392"/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Комунальна зона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</w:tr>
      <w:tr w:rsidR="00274F69" w:rsidRPr="00462E12" w:rsidTr="00382E6B">
        <w:trPr>
          <w:trHeight w:val="210"/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Разом по оздоровчо-рекреаційній зоні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1055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12660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470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564</w:t>
            </w:r>
          </w:p>
        </w:tc>
      </w:tr>
      <w:tr w:rsidR="00274F69" w:rsidRPr="00462E12" w:rsidTr="00382E6B">
        <w:trPr>
          <w:trHeight w:val="330"/>
          <w:jc w:val="center"/>
        </w:trPr>
        <w:tc>
          <w:tcPr>
            <w:tcW w:w="9523" w:type="dxa"/>
            <w:gridSpan w:val="5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ІІІ. Парково-громадська зона</w:t>
            </w:r>
          </w:p>
        </w:tc>
      </w:tr>
      <w:tr w:rsidR="00274F69" w:rsidRPr="00462E12" w:rsidTr="00382E6B">
        <w:trPr>
          <w:trHeight w:val="510"/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Універсальний розважальний центр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</w:tr>
      <w:tr w:rsidR="00274F69" w:rsidRPr="00462E12" w:rsidTr="00382E6B">
        <w:trPr>
          <w:trHeight w:val="285"/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Спортивний центр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72</w:t>
            </w:r>
          </w:p>
        </w:tc>
      </w:tr>
      <w:tr w:rsidR="00274F69" w:rsidRPr="00462E12" w:rsidTr="00382E6B">
        <w:trPr>
          <w:trHeight w:val="300"/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Торговий комплекс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144</w:t>
            </w:r>
          </w:p>
        </w:tc>
      </w:tr>
      <w:tr w:rsidR="00274F69" w:rsidRPr="00462E12" w:rsidTr="00382E6B">
        <w:trPr>
          <w:trHeight w:val="315"/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Діснейленд</w:t>
            </w:r>
            <w:proofErr w:type="spellEnd"/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960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</w:tr>
      <w:tr w:rsidR="00274F69" w:rsidRPr="00462E12" w:rsidTr="00382E6B">
        <w:trPr>
          <w:trHeight w:val="330"/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Аквапарк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960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</w:tr>
      <w:tr w:rsidR="00274F69" w:rsidRPr="00462E12" w:rsidTr="00382E6B">
        <w:trPr>
          <w:trHeight w:val="180"/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Разом по парково-громадській зоні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360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4320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440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528</w:t>
            </w:r>
          </w:p>
        </w:tc>
      </w:tr>
      <w:tr w:rsidR="00274F69" w:rsidRPr="00462E12" w:rsidTr="00382E6B">
        <w:trPr>
          <w:trHeight w:val="435"/>
          <w:jc w:val="center"/>
        </w:trPr>
        <w:tc>
          <w:tcPr>
            <w:tcW w:w="3347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«</w:t>
            </w:r>
            <w:proofErr w:type="spellStart"/>
            <w:r w:rsidRPr="00462E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IntermedicalEcoCity</w:t>
            </w:r>
            <w:proofErr w:type="spellEnd"/>
            <w:r w:rsidRPr="00462E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1415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16980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910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274F69" w:rsidRPr="00462E12" w:rsidRDefault="00274F69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2E1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1092</w:t>
            </w:r>
          </w:p>
        </w:tc>
      </w:tr>
    </w:tbl>
    <w:p w:rsidR="00274F69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74F69" w:rsidRPr="00462E12" w:rsidRDefault="00274F69" w:rsidP="00274F69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bookmarkStart w:id="0" w:name="_Toc128970829"/>
      <w:bookmarkStart w:id="1" w:name="_Toc359931490"/>
      <w:r w:rsidRPr="00462E12">
        <w:rPr>
          <w:rFonts w:ascii="Times New Roman" w:hAnsi="Times New Roman"/>
          <w:b/>
          <w:i/>
          <w:sz w:val="26"/>
          <w:szCs w:val="26"/>
          <w:lang w:val="uk-UA"/>
        </w:rPr>
        <w:t>Інженерна підготовка території</w:t>
      </w:r>
      <w:bookmarkEnd w:id="0"/>
      <w:bookmarkEnd w:id="1"/>
    </w:p>
    <w:p w:rsidR="00274F69" w:rsidRPr="00462E12" w:rsidRDefault="00274F69" w:rsidP="00274F69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lang w:val="uk-UA"/>
        </w:rPr>
      </w:pPr>
      <w:bookmarkStart w:id="2" w:name="_Toc128970830"/>
      <w:bookmarkStart w:id="3" w:name="_Toc359931491"/>
      <w:r w:rsidRPr="00462E12">
        <w:rPr>
          <w:rFonts w:ascii="Times New Roman" w:hAnsi="Times New Roman"/>
          <w:i/>
          <w:sz w:val="26"/>
          <w:szCs w:val="26"/>
          <w:lang w:val="uk-UA"/>
        </w:rPr>
        <w:t>Гідротехнічні заходи</w:t>
      </w:r>
      <w:bookmarkEnd w:id="2"/>
      <w:bookmarkEnd w:id="3"/>
    </w:p>
    <w:p w:rsidR="00274F69" w:rsidRPr="00462E12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62E12">
        <w:rPr>
          <w:rFonts w:ascii="Times New Roman" w:hAnsi="Times New Roman"/>
          <w:sz w:val="26"/>
          <w:szCs w:val="26"/>
          <w:lang w:val="uk-UA"/>
        </w:rPr>
        <w:t xml:space="preserve">Згідно аналізу топографічних умов проектна територія характеризується наявністю порушених ділянок (кар’єри) - </w:t>
      </w:r>
      <w:smartTag w:uri="urn:schemas-microsoft-com:office:smarttags" w:element="metricconverter">
        <w:smartTagPr>
          <w:attr w:name="ProductID" w:val="37,4 га"/>
        </w:smartTagPr>
        <w:r w:rsidRPr="00462E12">
          <w:rPr>
            <w:rFonts w:ascii="Times New Roman" w:hAnsi="Times New Roman"/>
            <w:sz w:val="26"/>
            <w:szCs w:val="26"/>
            <w:lang w:val="uk-UA"/>
          </w:rPr>
          <w:t>37,4 га</w:t>
        </w:r>
      </w:smartTag>
      <w:r w:rsidRPr="00462E12">
        <w:rPr>
          <w:rFonts w:ascii="Times New Roman" w:hAnsi="Times New Roman"/>
          <w:sz w:val="26"/>
          <w:szCs w:val="26"/>
          <w:lang w:val="uk-UA"/>
        </w:rPr>
        <w:t xml:space="preserve">, ряд заболочених ділянок та локальних безстічних заболочених понижень на території з абсолютними відмітками до </w:t>
      </w:r>
      <w:smartTag w:uri="urn:schemas-microsoft-com:office:smarttags" w:element="metricconverter">
        <w:smartTagPr>
          <w:attr w:name="ProductID" w:val="0,2 м"/>
        </w:smartTagPr>
        <w:r w:rsidRPr="00462E12">
          <w:rPr>
            <w:rFonts w:ascii="Times New Roman" w:hAnsi="Times New Roman"/>
            <w:sz w:val="26"/>
            <w:szCs w:val="26"/>
            <w:lang w:val="uk-UA"/>
          </w:rPr>
          <w:t>0,2 м</w:t>
        </w:r>
      </w:smartTag>
      <w:r w:rsidRPr="00462E12">
        <w:rPr>
          <w:rFonts w:ascii="Times New Roman" w:hAnsi="Times New Roman"/>
          <w:sz w:val="26"/>
          <w:szCs w:val="26"/>
          <w:lang w:val="uk-UA"/>
        </w:rPr>
        <w:t>. Ґрунтові води знаходяться на глибині 1-</w:t>
      </w:r>
      <w:smartTag w:uri="urn:schemas-microsoft-com:office:smarttags" w:element="metricconverter">
        <w:smartTagPr>
          <w:attr w:name="ProductID" w:val="2 м"/>
        </w:smartTagPr>
        <w:r w:rsidRPr="00462E12">
          <w:rPr>
            <w:rFonts w:ascii="Times New Roman" w:hAnsi="Times New Roman"/>
            <w:sz w:val="26"/>
            <w:szCs w:val="26"/>
            <w:lang w:val="uk-UA"/>
          </w:rPr>
          <w:t>2 м</w:t>
        </w:r>
      </w:smartTag>
      <w:r w:rsidRPr="00462E12">
        <w:rPr>
          <w:rFonts w:ascii="Times New Roman" w:hAnsi="Times New Roman"/>
          <w:sz w:val="26"/>
          <w:szCs w:val="26"/>
          <w:lang w:val="uk-UA"/>
        </w:rPr>
        <w:t>.</w:t>
      </w:r>
    </w:p>
    <w:p w:rsidR="00274F69" w:rsidRPr="00462E12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62E12">
        <w:rPr>
          <w:rFonts w:ascii="Times New Roman" w:hAnsi="Times New Roman"/>
          <w:sz w:val="26"/>
          <w:szCs w:val="26"/>
          <w:lang w:val="uk-UA"/>
        </w:rPr>
        <w:t xml:space="preserve">Згідно архітектурно-планувальних рішень на території, що розглядається пропонується розміщення двох оздоровчо-рекреаційних зон: №1 - на 10,7 тис. </w:t>
      </w:r>
      <w:r w:rsidRPr="00462E12">
        <w:rPr>
          <w:rFonts w:ascii="Times New Roman" w:hAnsi="Times New Roman"/>
          <w:sz w:val="26"/>
          <w:szCs w:val="26"/>
          <w:lang w:val="uk-UA"/>
        </w:rPr>
        <w:lastRenderedPageBreak/>
        <w:t>відпочивальників, і №2 – на 2,5 тис. відпочивальників; будівництво закладів обслуговування; розважальних і спортивних закладів та паркова зона (</w:t>
      </w:r>
      <w:smartTag w:uri="urn:schemas-microsoft-com:office:smarttags" w:element="metricconverter">
        <w:smartTagPr>
          <w:attr w:name="ProductID" w:val="32 га"/>
        </w:smartTagPr>
        <w:r w:rsidRPr="00462E12">
          <w:rPr>
            <w:rFonts w:ascii="Times New Roman" w:hAnsi="Times New Roman"/>
            <w:sz w:val="26"/>
            <w:szCs w:val="26"/>
            <w:lang w:val="uk-UA"/>
          </w:rPr>
          <w:t>32 га</w:t>
        </w:r>
      </w:smartTag>
      <w:r w:rsidRPr="00462E12">
        <w:rPr>
          <w:rFonts w:ascii="Times New Roman" w:hAnsi="Times New Roman"/>
          <w:sz w:val="26"/>
          <w:szCs w:val="26"/>
          <w:lang w:val="uk-UA"/>
        </w:rPr>
        <w:t xml:space="preserve">). </w:t>
      </w:r>
    </w:p>
    <w:p w:rsidR="00274F69" w:rsidRPr="00462E12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62E12">
        <w:rPr>
          <w:rFonts w:ascii="Times New Roman" w:hAnsi="Times New Roman"/>
          <w:sz w:val="26"/>
          <w:szCs w:val="26"/>
          <w:lang w:val="uk-UA"/>
        </w:rPr>
        <w:t>З метою освоєння території, будівництва «Міста майбутнього» необхідно виконання комплексу гідротехнічних заходів з інженерної підготовки та захисту території, які передбачають: захист території від затоплення і підтоплення; ліквідацію і благоустрій заболочених порушених ділянок території; влаштування набережної, благоустрій пляжу, утворення території під капітальну забудову та під паркову зону.</w:t>
      </w:r>
    </w:p>
    <w:p w:rsidR="00274F69" w:rsidRPr="00462E12" w:rsidRDefault="00274F69" w:rsidP="00274F69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462E12">
        <w:rPr>
          <w:rFonts w:ascii="Times New Roman" w:hAnsi="Times New Roman" w:cs="Times New Roman"/>
          <w:i/>
          <w:sz w:val="26"/>
          <w:szCs w:val="26"/>
          <w:lang w:val="uk-UA"/>
        </w:rPr>
        <w:t>Вертикальне планування та дощова каналізація</w:t>
      </w:r>
    </w:p>
    <w:p w:rsidR="00274F69" w:rsidRPr="00462E12" w:rsidRDefault="00274F69" w:rsidP="00274F69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2E12">
        <w:rPr>
          <w:rFonts w:ascii="Times New Roman" w:hAnsi="Times New Roman" w:cs="Times New Roman"/>
          <w:sz w:val="26"/>
          <w:szCs w:val="26"/>
          <w:lang w:val="uk-UA"/>
        </w:rPr>
        <w:t>Згідно аналізу топографічних та гідрогеологічних умов освоєння проектної території потребує влаштування заходів з інженерної підготовки, які включають підсипку території. За умови влаштування площинної підсипки території забудови та земляного полотна доріг, необхідно виконати подальше вертикальне планування цих територій.</w:t>
      </w:r>
    </w:p>
    <w:p w:rsidR="00274F69" w:rsidRPr="00462E12" w:rsidRDefault="00274F69" w:rsidP="00274F69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2E12">
        <w:rPr>
          <w:rFonts w:ascii="Times New Roman" w:hAnsi="Times New Roman" w:cs="Times New Roman"/>
          <w:sz w:val="26"/>
          <w:szCs w:val="26"/>
          <w:lang w:val="uk-UA"/>
        </w:rPr>
        <w:t xml:space="preserve">Підсипку земляного полотна доріг виконати до абсолютної проектної відмітки </w:t>
      </w:r>
      <w:smartTag w:uri="urn:schemas-microsoft-com:office:smarttags" w:element="metricconverter">
        <w:smartTagPr>
          <w:attr w:name="ProductID" w:val="2,1 м"/>
        </w:smartTagPr>
        <w:r w:rsidRPr="00462E12">
          <w:rPr>
            <w:rFonts w:ascii="Times New Roman" w:hAnsi="Times New Roman" w:cs="Times New Roman"/>
            <w:sz w:val="26"/>
            <w:szCs w:val="26"/>
            <w:lang w:val="uk-UA"/>
          </w:rPr>
          <w:t>2,1 м</w:t>
        </w:r>
      </w:smartTag>
      <w:r w:rsidRPr="00462E12">
        <w:rPr>
          <w:rFonts w:ascii="Times New Roman" w:hAnsi="Times New Roman" w:cs="Times New Roman"/>
          <w:sz w:val="26"/>
          <w:szCs w:val="26"/>
          <w:lang w:val="uk-UA"/>
        </w:rPr>
        <w:t xml:space="preserve"> з урахуванням прокладання інженерних мереж.</w:t>
      </w:r>
    </w:p>
    <w:p w:rsidR="00274F69" w:rsidRPr="00462E12" w:rsidRDefault="00274F69" w:rsidP="00274F69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2E12">
        <w:rPr>
          <w:rFonts w:ascii="Times New Roman" w:hAnsi="Times New Roman" w:cs="Times New Roman"/>
          <w:sz w:val="26"/>
          <w:szCs w:val="26"/>
          <w:lang w:val="uk-UA"/>
        </w:rPr>
        <w:t>Підсипку території комплексів та паркової зони проводити до початку виконання робіт з забудови території, як початковий етап з інженерної підготовки території.</w:t>
      </w:r>
    </w:p>
    <w:p w:rsidR="00274F69" w:rsidRPr="00462E12" w:rsidRDefault="00274F69" w:rsidP="00274F69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2E12">
        <w:rPr>
          <w:rFonts w:ascii="Times New Roman" w:hAnsi="Times New Roman" w:cs="Times New Roman"/>
          <w:sz w:val="26"/>
          <w:szCs w:val="26"/>
          <w:lang w:val="uk-UA"/>
        </w:rPr>
        <w:t>Для забезпечення нормального руху транспорту, пішоходів, мало мобільних груп населення та відводу поверхневих вод необхідно виконати заходи з вертикального планування і будівництва дощової каналізації.</w:t>
      </w:r>
    </w:p>
    <w:p w:rsidR="00274F69" w:rsidRPr="00462E12" w:rsidRDefault="00274F69" w:rsidP="00274F69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2E12">
        <w:rPr>
          <w:rFonts w:ascii="Times New Roman" w:hAnsi="Times New Roman" w:cs="Times New Roman"/>
          <w:sz w:val="26"/>
          <w:szCs w:val="26"/>
          <w:lang w:val="uk-UA"/>
        </w:rPr>
        <w:t xml:space="preserve">Вертикальне планування визначає проектні відмітки території, при яких новий проектний рельєф найбільш доцільно та економічно обґрунтовано придатний для будівництва та експлуатації даної конкретної ділянки. </w:t>
      </w:r>
    </w:p>
    <w:p w:rsidR="00274F69" w:rsidRPr="00462E12" w:rsidRDefault="00274F69" w:rsidP="00274F69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2E12">
        <w:rPr>
          <w:rFonts w:ascii="Times New Roman" w:hAnsi="Times New Roman" w:cs="Times New Roman"/>
          <w:sz w:val="26"/>
          <w:szCs w:val="26"/>
          <w:lang w:val="uk-UA"/>
        </w:rPr>
        <w:t>Роботи з вертикального планування проводяться безпосередньо при виконані забудови території та її благоустрою.</w:t>
      </w:r>
    </w:p>
    <w:p w:rsidR="00274F69" w:rsidRPr="00462E12" w:rsidRDefault="00274F69" w:rsidP="00274F69">
      <w:pPr>
        <w:pStyle w:val="a4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62E12">
        <w:rPr>
          <w:rFonts w:ascii="Times New Roman" w:hAnsi="Times New Roman" w:cs="Times New Roman"/>
          <w:sz w:val="26"/>
          <w:szCs w:val="26"/>
          <w:lang w:val="uk-UA"/>
        </w:rPr>
        <w:t>При проектуванні нових вулиць та проїздів передбачити влаштування асфальтобетонного покриття. На пішохідних доріжках і тротуарах пропонується влаштування асфальтобетонного покриття та покриття із бетонних плит.</w:t>
      </w:r>
    </w:p>
    <w:p w:rsidR="00274F69" w:rsidRDefault="00274F69" w:rsidP="00274F69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bookmarkStart w:id="4" w:name="_Toc128970832"/>
      <w:bookmarkStart w:id="5" w:name="_Toc359931493"/>
    </w:p>
    <w:p w:rsidR="00274F69" w:rsidRPr="00462E12" w:rsidRDefault="00274F69" w:rsidP="00274F69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462E12">
        <w:rPr>
          <w:rFonts w:ascii="Times New Roman" w:hAnsi="Times New Roman"/>
          <w:b/>
          <w:i/>
          <w:sz w:val="26"/>
          <w:szCs w:val="26"/>
          <w:lang w:val="uk-UA"/>
        </w:rPr>
        <w:t>Інженерне обладнання території</w:t>
      </w:r>
      <w:bookmarkEnd w:id="4"/>
      <w:bookmarkEnd w:id="5"/>
    </w:p>
    <w:p w:rsidR="00274F69" w:rsidRPr="00462E12" w:rsidRDefault="00274F69" w:rsidP="00274F69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lastRenderedPageBreak/>
        <w:t>Водопостачання і каналізація</w:t>
      </w:r>
    </w:p>
    <w:p w:rsidR="00274F69" w:rsidRPr="00462E12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62E12">
        <w:rPr>
          <w:rFonts w:ascii="Times New Roman" w:hAnsi="Times New Roman"/>
          <w:sz w:val="26"/>
          <w:szCs w:val="26"/>
          <w:lang w:val="uk-UA"/>
        </w:rPr>
        <w:t xml:space="preserve">Забудову території Міста майбутнього </w:t>
      </w:r>
      <w:proofErr w:type="spellStart"/>
      <w:r w:rsidRPr="00462E12">
        <w:rPr>
          <w:rFonts w:ascii="Times New Roman" w:hAnsi="Times New Roman"/>
          <w:sz w:val="26"/>
          <w:szCs w:val="26"/>
          <w:lang w:val="uk-UA"/>
        </w:rPr>
        <w:t>„InterMedicalEcoCiti</w:t>
      </w:r>
      <w:proofErr w:type="spellEnd"/>
      <w:r w:rsidRPr="00462E12">
        <w:rPr>
          <w:rFonts w:ascii="Times New Roman" w:hAnsi="Times New Roman"/>
          <w:sz w:val="26"/>
          <w:szCs w:val="26"/>
          <w:lang w:val="uk-UA"/>
        </w:rPr>
        <w:t>” що проектуються передбачається обладнати системами водопостачання та каналізації.</w:t>
      </w:r>
    </w:p>
    <w:p w:rsidR="00274F69" w:rsidRPr="00462E12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62E12">
        <w:rPr>
          <w:rFonts w:ascii="Times New Roman" w:hAnsi="Times New Roman"/>
          <w:sz w:val="26"/>
          <w:szCs w:val="26"/>
          <w:lang w:val="uk-UA"/>
        </w:rPr>
        <w:t xml:space="preserve">Потреба у воді питної якості території, що проектується складе </w:t>
      </w:r>
      <w:smartTag w:uri="urn:schemas-microsoft-com:office:smarttags" w:element="metricconverter">
        <w:smartTagPr>
          <w:attr w:name="ProductID" w:val="3861,21 м3"/>
        </w:smartTagPr>
        <w:r w:rsidRPr="00462E12">
          <w:rPr>
            <w:rFonts w:ascii="Times New Roman" w:hAnsi="Times New Roman"/>
            <w:sz w:val="26"/>
            <w:szCs w:val="26"/>
            <w:lang w:val="uk-UA"/>
          </w:rPr>
          <w:t>3861,21 м</w:t>
        </w:r>
        <w:r w:rsidRPr="00462E12">
          <w:rPr>
            <w:rFonts w:ascii="Times New Roman" w:hAnsi="Times New Roman"/>
            <w:sz w:val="26"/>
            <w:szCs w:val="26"/>
            <w:vertAlign w:val="superscript"/>
            <w:lang w:val="uk-UA"/>
          </w:rPr>
          <w:t>3</w:t>
        </w:r>
      </w:smartTag>
      <w:r w:rsidRPr="00462E12">
        <w:rPr>
          <w:rFonts w:ascii="Times New Roman" w:hAnsi="Times New Roman"/>
          <w:sz w:val="26"/>
          <w:szCs w:val="26"/>
          <w:lang w:val="uk-UA"/>
        </w:rPr>
        <w:t xml:space="preserve"> за максимальну добу; </w:t>
      </w:r>
      <w:r w:rsidRPr="00462E12">
        <w:rPr>
          <w:rFonts w:ascii="Times New Roman" w:eastAsia="MS Mincho" w:hAnsi="Times New Roman"/>
          <w:sz w:val="26"/>
          <w:szCs w:val="26"/>
          <w:lang w:val="uk-UA"/>
        </w:rPr>
        <w:t xml:space="preserve">технічної води на зрошення і поливання територій </w:t>
      </w:r>
      <w:smartTag w:uri="urn:schemas-microsoft-com:office:smarttags" w:element="metricconverter">
        <w:smartTagPr>
          <w:attr w:name="ProductID" w:val="4058,56 м3"/>
        </w:smartTagPr>
        <w:r w:rsidRPr="00462E12">
          <w:rPr>
            <w:rFonts w:ascii="Times New Roman" w:hAnsi="Times New Roman"/>
            <w:sz w:val="26"/>
            <w:szCs w:val="26"/>
            <w:lang w:val="uk-UA"/>
          </w:rPr>
          <w:t>4058,56 м</w:t>
        </w:r>
        <w:r w:rsidRPr="00462E12">
          <w:rPr>
            <w:rFonts w:ascii="Times New Roman" w:hAnsi="Times New Roman"/>
            <w:sz w:val="26"/>
            <w:szCs w:val="26"/>
            <w:vertAlign w:val="superscript"/>
            <w:lang w:val="uk-UA"/>
          </w:rPr>
          <w:t>3</w:t>
        </w:r>
      </w:smartTag>
      <w:r w:rsidRPr="00462E12">
        <w:rPr>
          <w:rFonts w:ascii="Times New Roman" w:hAnsi="Times New Roman"/>
          <w:sz w:val="26"/>
          <w:szCs w:val="26"/>
          <w:lang w:val="uk-UA"/>
        </w:rPr>
        <w:t xml:space="preserve"> за максимальну добу (ДБН 360-92**). Розрахунки по групах водокористувачів наведені у таблиці нижче.</w:t>
      </w:r>
    </w:p>
    <w:p w:rsidR="00274F69" w:rsidRPr="00462E12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62E12">
        <w:rPr>
          <w:rFonts w:ascii="Times New Roman" w:hAnsi="Times New Roman"/>
          <w:sz w:val="26"/>
          <w:szCs w:val="26"/>
          <w:lang w:val="uk-UA"/>
        </w:rPr>
        <w:t xml:space="preserve">Покриття розрахункової потреби у воді питної якості передбачається із підземних джерел. За гідрогеологічними умовами основним водоносним горизонтом в районі детального планування території є горизонт </w:t>
      </w:r>
      <w:proofErr w:type="spellStart"/>
      <w:r w:rsidRPr="00462E12">
        <w:rPr>
          <w:rFonts w:ascii="Times New Roman" w:hAnsi="Times New Roman"/>
          <w:sz w:val="26"/>
          <w:szCs w:val="26"/>
          <w:lang w:val="uk-UA"/>
        </w:rPr>
        <w:t>верхньоміоценових</w:t>
      </w:r>
      <w:proofErr w:type="spellEnd"/>
      <w:r w:rsidRPr="00462E12">
        <w:rPr>
          <w:rFonts w:ascii="Times New Roman" w:hAnsi="Times New Roman"/>
          <w:sz w:val="26"/>
          <w:szCs w:val="26"/>
          <w:lang w:val="uk-UA"/>
        </w:rPr>
        <w:t xml:space="preserve"> відкладів. Глибина залягання комплексу 70 - </w:t>
      </w:r>
      <w:smartTag w:uri="urn:schemas-microsoft-com:office:smarttags" w:element="metricconverter">
        <w:smartTagPr>
          <w:attr w:name="ProductID" w:val="120 м"/>
        </w:smartTagPr>
        <w:r w:rsidRPr="00462E12">
          <w:rPr>
            <w:rFonts w:ascii="Times New Roman" w:hAnsi="Times New Roman"/>
            <w:sz w:val="26"/>
            <w:szCs w:val="26"/>
            <w:lang w:val="uk-UA"/>
          </w:rPr>
          <w:t>120 м</w:t>
        </w:r>
      </w:smartTag>
      <w:r w:rsidRPr="00462E12">
        <w:rPr>
          <w:rFonts w:ascii="Times New Roman" w:hAnsi="Times New Roman"/>
          <w:sz w:val="26"/>
          <w:szCs w:val="26"/>
          <w:lang w:val="uk-UA"/>
        </w:rPr>
        <w:t xml:space="preserve">, максимальний дебіт свердловин, що експлуатуються - 5-18 л/с, горизонт надзвичайно водоємний. Води </w:t>
      </w:r>
      <w:proofErr w:type="spellStart"/>
      <w:r w:rsidRPr="00462E12">
        <w:rPr>
          <w:rFonts w:ascii="Times New Roman" w:hAnsi="Times New Roman"/>
          <w:sz w:val="26"/>
          <w:szCs w:val="26"/>
          <w:lang w:val="uk-UA"/>
        </w:rPr>
        <w:t>гідрокарбонатні</w:t>
      </w:r>
      <w:proofErr w:type="spellEnd"/>
      <w:r w:rsidRPr="00462E12">
        <w:rPr>
          <w:rFonts w:ascii="Times New Roman" w:hAnsi="Times New Roman"/>
          <w:sz w:val="26"/>
          <w:szCs w:val="26"/>
          <w:lang w:val="uk-UA"/>
        </w:rPr>
        <w:t>, з мінералізацією до 0,9 г/л. Розрахункова продуктивність свердловин за 20 годин за добу та дебіту 12 л/с – 0,86 тис. м</w:t>
      </w:r>
      <w:r w:rsidRPr="00462E12">
        <w:rPr>
          <w:rFonts w:ascii="Times New Roman" w:hAnsi="Times New Roman"/>
          <w:sz w:val="26"/>
          <w:szCs w:val="26"/>
          <w:vertAlign w:val="superscript"/>
          <w:lang w:val="uk-UA"/>
        </w:rPr>
        <w:t>3</w:t>
      </w:r>
      <w:r w:rsidRPr="00462E12">
        <w:rPr>
          <w:rFonts w:ascii="Times New Roman" w:hAnsi="Times New Roman"/>
          <w:sz w:val="26"/>
          <w:szCs w:val="26"/>
          <w:lang w:val="uk-UA"/>
        </w:rPr>
        <w:t>/добу.</w:t>
      </w:r>
    </w:p>
    <w:p w:rsidR="00274F69" w:rsidRPr="00462E12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62E12">
        <w:rPr>
          <w:rFonts w:ascii="Times New Roman" w:hAnsi="Times New Roman"/>
          <w:sz w:val="26"/>
          <w:szCs w:val="26"/>
          <w:lang w:val="uk-UA"/>
        </w:rPr>
        <w:t xml:space="preserve">Для забезпечення водою питної якості території Міста майбутнього </w:t>
      </w:r>
      <w:proofErr w:type="spellStart"/>
      <w:r w:rsidRPr="00462E12">
        <w:rPr>
          <w:rFonts w:ascii="Times New Roman" w:hAnsi="Times New Roman"/>
          <w:sz w:val="26"/>
          <w:szCs w:val="26"/>
          <w:lang w:val="uk-UA"/>
        </w:rPr>
        <w:t>„InterMedicalEcoCiti</w:t>
      </w:r>
      <w:proofErr w:type="spellEnd"/>
      <w:r w:rsidRPr="00462E12">
        <w:rPr>
          <w:rFonts w:ascii="Times New Roman" w:hAnsi="Times New Roman"/>
          <w:sz w:val="26"/>
          <w:szCs w:val="26"/>
          <w:lang w:val="uk-UA"/>
        </w:rPr>
        <w:t xml:space="preserve">” проектом передбачається будівництво двох окремих систем питного водопостачання. Для зони № I проектуються дві ділянки водопровідних споруд та 4 свердловини. Для зон № II та №III проектується одна ділянка водопровідних споруд і одна артезіанська свердловина. Зона санітарної охорони першого поясу підземних джерел </w:t>
      </w:r>
      <w:smartTag w:uri="urn:schemas-microsoft-com:office:smarttags" w:element="metricconverter">
        <w:smartTagPr>
          <w:attr w:name="ProductID" w:val="30 м"/>
        </w:smartTagPr>
        <w:r w:rsidRPr="00462E12">
          <w:rPr>
            <w:rFonts w:ascii="Times New Roman" w:hAnsi="Times New Roman"/>
            <w:sz w:val="26"/>
            <w:szCs w:val="26"/>
            <w:lang w:val="uk-UA"/>
          </w:rPr>
          <w:t>30 м</w:t>
        </w:r>
      </w:smartTag>
      <w:r w:rsidRPr="00462E12">
        <w:rPr>
          <w:rFonts w:ascii="Times New Roman" w:hAnsi="Times New Roman"/>
          <w:sz w:val="26"/>
          <w:szCs w:val="26"/>
          <w:lang w:val="uk-UA"/>
        </w:rPr>
        <w:t>, другий та третій пояси розраховуються на стадії робочого проектування водозабору. На кожній ділянці передбачаються напірно-регулюючі резервуари, споруди знезаражування та поліпшення якості води (при необхідності), будівництво насосної станції II підйому.</w:t>
      </w:r>
    </w:p>
    <w:p w:rsidR="00274F69" w:rsidRPr="00462E12" w:rsidRDefault="00274F69" w:rsidP="00274F69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lang w:val="uk-UA"/>
        </w:rPr>
      </w:pPr>
      <w:bookmarkStart w:id="6" w:name="_Toc359931495"/>
      <w:r w:rsidRPr="00462E12">
        <w:rPr>
          <w:rFonts w:ascii="Times New Roman" w:hAnsi="Times New Roman"/>
          <w:i/>
          <w:sz w:val="26"/>
          <w:szCs w:val="26"/>
          <w:lang w:val="uk-UA"/>
        </w:rPr>
        <w:t>Санітарне очищення</w:t>
      </w:r>
      <w:bookmarkEnd w:id="6"/>
    </w:p>
    <w:p w:rsidR="00274F69" w:rsidRPr="00462E12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62E12">
        <w:rPr>
          <w:rFonts w:ascii="Times New Roman" w:hAnsi="Times New Roman"/>
          <w:sz w:val="26"/>
          <w:szCs w:val="26"/>
          <w:lang w:val="uk-UA"/>
        </w:rPr>
        <w:t xml:space="preserve">Відповідно до норм ДБН 360-92** розрахунковий об’єм накопичення твердих побутових відходів (ТПВ) та сміття з вулиць на розрахунковий строк складе 4,21 тис. т/рік. Чисельність рекреантів цілорічних – 13200 осіб. Норма накопичення ТПВ 290 кг/рік, сміття та невраховані 10%. Необхідна площа полігону з розрахунку </w:t>
      </w:r>
      <w:smartTag w:uri="urn:schemas-microsoft-com:office:smarttags" w:element="metricconverter">
        <w:smartTagPr>
          <w:attr w:name="ProductID" w:val="0,02 га"/>
        </w:smartTagPr>
        <w:r w:rsidRPr="00462E12">
          <w:rPr>
            <w:rFonts w:ascii="Times New Roman" w:hAnsi="Times New Roman"/>
            <w:sz w:val="26"/>
            <w:szCs w:val="26"/>
            <w:lang w:val="uk-UA"/>
          </w:rPr>
          <w:t>0,02 га</w:t>
        </w:r>
      </w:smartTag>
      <w:r w:rsidRPr="00462E12">
        <w:rPr>
          <w:rFonts w:ascii="Times New Roman" w:hAnsi="Times New Roman"/>
          <w:sz w:val="26"/>
          <w:szCs w:val="26"/>
          <w:lang w:val="uk-UA"/>
        </w:rPr>
        <w:t xml:space="preserve"> на 1 тис. т відходів на розрахунковий строк (20 років) – </w:t>
      </w:r>
      <w:smartTag w:uri="urn:schemas-microsoft-com:office:smarttags" w:element="metricconverter">
        <w:smartTagPr>
          <w:attr w:name="ProductID" w:val="1,68 га"/>
        </w:smartTagPr>
        <w:r w:rsidRPr="00462E12">
          <w:rPr>
            <w:rFonts w:ascii="Times New Roman" w:hAnsi="Times New Roman"/>
            <w:sz w:val="26"/>
            <w:szCs w:val="26"/>
            <w:lang w:val="uk-UA"/>
          </w:rPr>
          <w:t>1,68 га</w:t>
        </w:r>
      </w:smartTag>
      <w:r w:rsidRPr="00462E12">
        <w:rPr>
          <w:rFonts w:ascii="Times New Roman" w:hAnsi="Times New Roman"/>
          <w:sz w:val="26"/>
          <w:szCs w:val="26"/>
          <w:lang w:val="uk-UA"/>
        </w:rPr>
        <w:t>.</w:t>
      </w:r>
    </w:p>
    <w:p w:rsidR="00274F69" w:rsidRPr="00462E12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62E12">
        <w:rPr>
          <w:rFonts w:ascii="Times New Roman" w:hAnsi="Times New Roman"/>
          <w:sz w:val="26"/>
          <w:szCs w:val="26"/>
          <w:lang w:val="uk-UA"/>
        </w:rPr>
        <w:t xml:space="preserve">У зв'язку з тим, що проблема знешкодження ТПВ актуальна для всього регіону та облаштування екологічно чистого підприємства по знешкодженню </w:t>
      </w:r>
      <w:r w:rsidRPr="00462E12">
        <w:rPr>
          <w:rFonts w:ascii="Times New Roman" w:hAnsi="Times New Roman"/>
          <w:sz w:val="26"/>
          <w:szCs w:val="26"/>
          <w:lang w:val="uk-UA"/>
        </w:rPr>
        <w:lastRenderedPageBreak/>
        <w:t xml:space="preserve">вимагає значних одноразових витрат, рекомендується прийняти участь у розробці регіональної схеми санітарного очищення з проробленням варіанта дальнього транспортування, будівництва районного підприємства промислової переробки і знешкодження відходів. </w:t>
      </w:r>
      <w:r w:rsidRPr="00462E12">
        <w:rPr>
          <w:rFonts w:ascii="Times New Roman" w:hAnsi="Times New Roman"/>
          <w:bCs/>
          <w:sz w:val="26"/>
          <w:szCs w:val="26"/>
          <w:lang w:val="uk-UA"/>
        </w:rPr>
        <w:t>Вибір ділянки під розміщення підприємства по переробці ТПВ доцільно проводити в межах рекультивованих частин діючих звалищ або в межах відпрацьованих кар’єрів.</w:t>
      </w:r>
    </w:p>
    <w:p w:rsidR="00274F69" w:rsidRPr="00462E12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62E12">
        <w:rPr>
          <w:rFonts w:ascii="Times New Roman" w:hAnsi="Times New Roman"/>
          <w:sz w:val="26"/>
          <w:szCs w:val="26"/>
          <w:lang w:val="uk-UA"/>
        </w:rPr>
        <w:t>Також з метою забезпечення виконання “Програми поводження з твердими побутовими відходами“ (постанова Кабінетові Міністрів України від 4.04.2004 р. №265) передбачається подальше впровадження організації роздільного збору твердих побутових відходів з наступним використанням і утилізацією. За умови організації роздільного збору обсяг вивозу твердих побутових відходів можна зменшити на 30-50%.</w:t>
      </w:r>
    </w:p>
    <w:p w:rsidR="00274F69" w:rsidRPr="00462E12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62E12">
        <w:rPr>
          <w:rFonts w:ascii="Times New Roman" w:hAnsi="Times New Roman"/>
          <w:sz w:val="26"/>
          <w:szCs w:val="26"/>
          <w:lang w:val="uk-UA"/>
        </w:rPr>
        <w:t xml:space="preserve">Для санітарного очищення необхідно: 3 сміттєвоза та 7 </w:t>
      </w:r>
      <w:proofErr w:type="spellStart"/>
      <w:r w:rsidRPr="00462E12">
        <w:rPr>
          <w:rFonts w:ascii="Times New Roman" w:hAnsi="Times New Roman"/>
          <w:sz w:val="26"/>
          <w:szCs w:val="26"/>
          <w:lang w:val="uk-UA"/>
        </w:rPr>
        <w:t>прибиральних</w:t>
      </w:r>
      <w:proofErr w:type="spellEnd"/>
      <w:r w:rsidRPr="00462E12">
        <w:rPr>
          <w:rFonts w:ascii="Times New Roman" w:hAnsi="Times New Roman"/>
          <w:sz w:val="26"/>
          <w:szCs w:val="26"/>
          <w:lang w:val="uk-UA"/>
        </w:rPr>
        <w:t xml:space="preserve"> машин та механізмів.</w:t>
      </w:r>
    </w:p>
    <w:p w:rsidR="00274F69" w:rsidRPr="00462E12" w:rsidRDefault="00274F69" w:rsidP="00274F69">
      <w:pPr>
        <w:spacing w:after="0" w:line="360" w:lineRule="auto"/>
        <w:ind w:firstLine="709"/>
        <w:jc w:val="center"/>
        <w:rPr>
          <w:rFonts w:ascii="Times New Roman" w:hAnsi="Times New Roman"/>
          <w:i/>
          <w:sz w:val="26"/>
          <w:szCs w:val="26"/>
          <w:lang w:val="uk-UA"/>
        </w:rPr>
      </w:pPr>
      <w:r w:rsidRPr="00462E12">
        <w:rPr>
          <w:rFonts w:ascii="Times New Roman" w:hAnsi="Times New Roman"/>
          <w:i/>
          <w:sz w:val="26"/>
          <w:szCs w:val="26"/>
          <w:lang w:val="uk-UA"/>
        </w:rPr>
        <w:t>Е</w:t>
      </w:r>
      <w:r w:rsidRPr="00745BEE">
        <w:rPr>
          <w:rFonts w:ascii="Times New Roman" w:hAnsi="Times New Roman"/>
          <w:i/>
          <w:sz w:val="26"/>
          <w:szCs w:val="26"/>
          <w:lang w:val="uk-UA"/>
        </w:rPr>
        <w:t>нергопостачання</w:t>
      </w:r>
    </w:p>
    <w:p w:rsidR="00274F69" w:rsidRPr="00462E12" w:rsidRDefault="00274F69" w:rsidP="00274F6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462E12">
        <w:rPr>
          <w:rFonts w:ascii="Times New Roman" w:hAnsi="Times New Roman"/>
          <w:sz w:val="26"/>
          <w:szCs w:val="26"/>
          <w:lang w:val="uk-UA"/>
        </w:rPr>
        <w:t>Проектом передбачається будівництво «Міста майбутнього» «</w:t>
      </w:r>
      <w:proofErr w:type="spellStart"/>
      <w:r w:rsidRPr="00462E12">
        <w:rPr>
          <w:rFonts w:ascii="Times New Roman" w:hAnsi="Times New Roman"/>
          <w:sz w:val="26"/>
          <w:szCs w:val="26"/>
          <w:lang w:val="uk-UA"/>
        </w:rPr>
        <w:t>InterMedicalEcoCity</w:t>
      </w:r>
      <w:proofErr w:type="spellEnd"/>
      <w:r w:rsidRPr="00462E12">
        <w:rPr>
          <w:rFonts w:ascii="Times New Roman" w:hAnsi="Times New Roman"/>
          <w:sz w:val="26"/>
          <w:szCs w:val="26"/>
          <w:lang w:val="uk-UA"/>
        </w:rPr>
        <w:t xml:space="preserve">» з оздоровчо-рекреаційною та парково-громадською зонами. Для енергопостачання перспективного споживачів проектом пропонується </w:t>
      </w:r>
      <w:r w:rsidRPr="00462E12">
        <w:rPr>
          <w:rFonts w:ascii="Times New Roman" w:hAnsi="Times New Roman"/>
          <w:sz w:val="26"/>
          <w:szCs w:val="26"/>
          <w:lang w:val="uk-UA" w:eastAsia="uk-UA"/>
        </w:rPr>
        <w:t xml:space="preserve">використання нетрадиційних і поновлюваних джерел енергії, </w:t>
      </w:r>
      <w:r w:rsidRPr="00462E12">
        <w:rPr>
          <w:rFonts w:ascii="Times New Roman" w:hAnsi="Times New Roman"/>
          <w:sz w:val="26"/>
          <w:szCs w:val="26"/>
          <w:lang w:val="uk-UA"/>
        </w:rPr>
        <w:t xml:space="preserve">а саме енергії сонця. Потенціал сонячної енергії Арабатської Стрілки є достатньо високим для широкого впровадження теплоенергетичного обладнання. В </w:t>
      </w:r>
      <w:proofErr w:type="spellStart"/>
      <w:r w:rsidRPr="00462E12">
        <w:rPr>
          <w:rFonts w:ascii="Times New Roman" w:hAnsi="Times New Roman"/>
          <w:sz w:val="26"/>
          <w:szCs w:val="26"/>
          <w:lang w:val="uk-UA"/>
        </w:rPr>
        <w:t>кліматометеорологічних</w:t>
      </w:r>
      <w:proofErr w:type="spellEnd"/>
      <w:r w:rsidRPr="00462E12">
        <w:rPr>
          <w:rFonts w:ascii="Times New Roman" w:hAnsi="Times New Roman"/>
          <w:sz w:val="26"/>
          <w:szCs w:val="26"/>
          <w:lang w:val="uk-UA"/>
        </w:rPr>
        <w:t xml:space="preserve"> умовах території, що розглядається, є ефективним застосування плоских сонячних колекторів для сонячного теплопостачання, які використовують як пряму, так і розсіяну сонячну радіацію. Геліоустановки можна застосовувати в зонах децентралізованого теплопостачання та можуть бути розташовані на ділянках, що не забудовуються, а також на дахах будівель-споживачів тепла. Враховуючи нерівномірність надходження тепла, установки сонячної теплоенергетики більш доцільно доповнювати іншими енергетичними установками (наприклад, тепловими насосами).</w:t>
      </w:r>
    </w:p>
    <w:p w:rsidR="007B2C82" w:rsidRDefault="007B2C82">
      <w:bookmarkStart w:id="7" w:name="_GoBack"/>
      <w:bookmarkEnd w:id="7"/>
    </w:p>
    <w:sectPr w:rsidR="007B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FB7"/>
    <w:multiLevelType w:val="hybridMultilevel"/>
    <w:tmpl w:val="3486510C"/>
    <w:lvl w:ilvl="0" w:tplc="D9C873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C054022"/>
    <w:multiLevelType w:val="hybridMultilevel"/>
    <w:tmpl w:val="25A0D3DC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DA"/>
    <w:rsid w:val="00274F69"/>
    <w:rsid w:val="003C34DA"/>
    <w:rsid w:val="007B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4F6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274F6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74F6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F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4F6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274F6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74F6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2256</Words>
  <Characters>12860</Characters>
  <Application>Microsoft Office Word</Application>
  <DocSecurity>0</DocSecurity>
  <Lines>107</Lines>
  <Paragraphs>30</Paragraphs>
  <ScaleCrop>false</ScaleCrop>
  <Company/>
  <LinksUpToDate>false</LinksUpToDate>
  <CharactersWithSpaces>15086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2013-07-16T13:49:00Z</dcterms:created>
  <dcterms:modified xsi:type="dcterms:W3CDTF">2013-07-16T13:49:00Z</dcterms:modified>
</cp:coreProperties>
</file>