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179" w:rsidRDefault="00BC4179" w:rsidP="00BC4179">
      <w:pPr>
        <w:keepNext/>
        <w:spacing w:after="0" w:line="360" w:lineRule="auto"/>
        <w:jc w:val="center"/>
        <w:rPr>
          <w:rFonts w:ascii="Times New Roman" w:hAnsi="Times New Roman"/>
          <w:b/>
          <w:i/>
          <w:color w:val="000000"/>
          <w:sz w:val="26"/>
          <w:szCs w:val="26"/>
          <w:lang w:val="uk-UA"/>
        </w:rPr>
      </w:pPr>
      <w:r>
        <w:rPr>
          <w:rFonts w:ascii="Times New Roman" w:hAnsi="Times New Roman"/>
          <w:b/>
          <w:i/>
          <w:color w:val="000000"/>
          <w:sz w:val="26"/>
          <w:szCs w:val="26"/>
          <w:lang w:val="uk-UA"/>
        </w:rPr>
        <w:t>3.2.4.1. Транспорт</w:t>
      </w:r>
    </w:p>
    <w:p w:rsidR="00BC4179" w:rsidRDefault="00BC4179" w:rsidP="00BC4179">
      <w:pPr>
        <w:keepNext/>
        <w:spacing w:after="0" w:line="360" w:lineRule="auto"/>
        <w:jc w:val="center"/>
        <w:rPr>
          <w:rFonts w:ascii="Times New Roman" w:hAnsi="Times New Roman"/>
          <w:i/>
          <w:color w:val="000000"/>
          <w:sz w:val="26"/>
          <w:szCs w:val="26"/>
          <w:lang w:val="uk-UA"/>
        </w:rPr>
      </w:pPr>
      <w:r>
        <w:rPr>
          <w:rFonts w:ascii="Times New Roman" w:hAnsi="Times New Roman"/>
          <w:i/>
          <w:color w:val="000000"/>
          <w:sz w:val="26"/>
          <w:szCs w:val="26"/>
          <w:lang w:val="uk-UA"/>
        </w:rPr>
        <w:t>Зовнішній транспорт</w:t>
      </w:r>
    </w:p>
    <w:p w:rsidR="00BC4179" w:rsidRDefault="00BC4179" w:rsidP="00BC4179">
      <w:pPr>
        <w:spacing w:after="0" w:line="360" w:lineRule="auto"/>
        <w:jc w:val="center"/>
        <w:rPr>
          <w:rFonts w:ascii="Times New Roman" w:hAnsi="Times New Roman"/>
          <w:color w:val="000000"/>
          <w:sz w:val="26"/>
          <w:szCs w:val="26"/>
          <w:u w:val="single"/>
          <w:lang w:val="uk-UA"/>
        </w:rPr>
      </w:pPr>
      <w:r>
        <w:rPr>
          <w:rFonts w:ascii="Times New Roman" w:hAnsi="Times New Roman"/>
          <w:color w:val="000000"/>
          <w:sz w:val="26"/>
          <w:szCs w:val="26"/>
          <w:u w:val="single"/>
          <w:lang w:val="uk-UA"/>
        </w:rPr>
        <w:t>Автомобільні дороги</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Обслуговування території «IntermedicalEcoCity» буде виконуватись по існуючим автомобільним дорогам державного значення: </w:t>
      </w:r>
    </w:p>
    <w:p w:rsidR="00BC4179" w:rsidRDefault="00BC4179" w:rsidP="00BC4179">
      <w:pPr>
        <w:pStyle w:val="a3"/>
        <w:numPr>
          <w:ilvl w:val="0"/>
          <w:numId w:val="1"/>
        </w:numPr>
        <w:tabs>
          <w:tab w:val="num" w:pos="-6946"/>
        </w:tabs>
        <w:spacing w:after="0" w:line="360" w:lineRule="auto"/>
        <w:ind w:left="142" w:firstLine="709"/>
        <w:jc w:val="both"/>
        <w:rPr>
          <w:rFonts w:ascii="Times New Roman" w:hAnsi="Times New Roman"/>
          <w:color w:val="000000"/>
          <w:sz w:val="26"/>
          <w:szCs w:val="26"/>
          <w:lang w:val="uk-UA"/>
        </w:rPr>
      </w:pPr>
      <w:r>
        <w:rPr>
          <w:rFonts w:ascii="Times New Roman" w:hAnsi="Times New Roman"/>
          <w:color w:val="000000"/>
          <w:sz w:val="26"/>
          <w:szCs w:val="26"/>
          <w:lang w:val="uk-UA"/>
        </w:rPr>
        <w:t>Міжнародній М–18 сполученням Харків – Сімферополь – Алушта – Ялта. Траса автомобільної дороги співпадає з трасою міжнародної європейської магістралі Е105 Москва-Орел-Харків-Сімферополь-Алушта-Ялта. Проїзна частина дороги відповідає параметрам ІІ технічної категорії. Автомобільна дорога зв’яже Російську Федерацію та східні області України з територією «IntermedicalEcoCity»;</w:t>
      </w:r>
    </w:p>
    <w:p w:rsidR="00BC4179" w:rsidRDefault="00BC4179" w:rsidP="00BC4179">
      <w:pPr>
        <w:pStyle w:val="a3"/>
        <w:numPr>
          <w:ilvl w:val="0"/>
          <w:numId w:val="1"/>
        </w:numPr>
        <w:spacing w:after="0" w:line="360" w:lineRule="auto"/>
        <w:ind w:left="142"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Регіональній Р–47 сполученням Херсон – Нова Каховка – Генічеськ. Автомобільна дорога співпадає з трасою міжнародного транспортного коридору, що передбачений до реконструкції </w:t>
      </w:r>
      <w:r>
        <w:rPr>
          <w:rFonts w:ascii="Times New Roman" w:hAnsi="Times New Roman"/>
          <w:i/>
          <w:color w:val="000000"/>
          <w:sz w:val="26"/>
          <w:szCs w:val="26"/>
          <w:lang w:val="uk-UA"/>
        </w:rPr>
        <w:t>Євроазіатський</w:t>
      </w:r>
      <w:r>
        <w:rPr>
          <w:rFonts w:ascii="Times New Roman" w:hAnsi="Times New Roman"/>
          <w:color w:val="000000"/>
          <w:sz w:val="26"/>
          <w:szCs w:val="26"/>
          <w:lang w:val="uk-UA"/>
        </w:rPr>
        <w:t xml:space="preserve"> Одеса – Миколаїв – Херсон – Джанкой – Керч. Автомобільна дорога зв’яже територію «IntermedicalEcoCity» з центральними та західними областями України. </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Безпосередньо через територію Арабатської стрілки проходить автомобільна дорога місцевого значення О220706 Генічеськ – Стрілкове. Дорога має IV технічну категорію.</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На перспективу при будівництві території «IntermedicalEcoCity» передбачений ряд заходів з розвитку автомобільних доріг:</w:t>
      </w:r>
    </w:p>
    <w:p w:rsidR="00BC4179" w:rsidRDefault="00BC4179" w:rsidP="00BC4179">
      <w:pPr>
        <w:numPr>
          <w:ilvl w:val="0"/>
          <w:numId w:val="2"/>
        </w:numPr>
        <w:tabs>
          <w:tab w:val="left" w:pos="900"/>
        </w:tabs>
        <w:spacing w:after="0" w:line="360" w:lineRule="auto"/>
        <w:ind w:left="0"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будівництво територіальної дороги державного значення, яка пройде від м. Генічеськ вздовж всієї Арабатської стрілки з подальшим будівництво автомобільного мосту через затоку Сиваш в районі с. Стрілкове та виходом на автомобільну дорогу державного значення М-18. Автомобільна дорога запроектована за параметрами ІІ технічної категорії з шириною проїзної частини </w:t>
      </w:r>
      <w:smartTag w:uri="urn:schemas-microsoft-com:office:smarttags" w:element="metricconverter">
        <w:smartTagPr>
          <w:attr w:name="ProductID" w:val="15,0 м"/>
        </w:smartTagPr>
        <w:r>
          <w:rPr>
            <w:rFonts w:ascii="Times New Roman" w:hAnsi="Times New Roman"/>
            <w:color w:val="000000"/>
            <w:sz w:val="26"/>
            <w:szCs w:val="26"/>
            <w:lang w:val="uk-UA"/>
          </w:rPr>
          <w:t>15,0 м</w:t>
        </w:r>
      </w:smartTag>
      <w:r>
        <w:rPr>
          <w:rFonts w:ascii="Times New Roman" w:hAnsi="Times New Roman"/>
          <w:color w:val="000000"/>
          <w:sz w:val="26"/>
          <w:szCs w:val="26"/>
          <w:lang w:val="uk-UA"/>
        </w:rPr>
        <w:t xml:space="preserve"> та пройде поза територіями «IntermedicalEcoCity», селищами Генічеська Гірка та Стрілкове. Будівництво автомобільного мосту через затоку Сиваш дозволить значно зменшити час проїзду від міжнародного аеропорту «Сімферополь» до території «IntermedicalEcoCity».</w:t>
      </w:r>
    </w:p>
    <w:p w:rsidR="00BC4179" w:rsidRDefault="00BC4179" w:rsidP="00BC4179">
      <w:pPr>
        <w:numPr>
          <w:ilvl w:val="0"/>
          <w:numId w:val="2"/>
        </w:numPr>
        <w:tabs>
          <w:tab w:val="left" w:pos="900"/>
        </w:tabs>
        <w:spacing w:after="0" w:line="360" w:lineRule="auto"/>
        <w:ind w:left="0" w:firstLine="709"/>
        <w:jc w:val="both"/>
        <w:rPr>
          <w:rFonts w:ascii="Times New Roman" w:hAnsi="Times New Roman"/>
          <w:color w:val="000000"/>
          <w:sz w:val="26"/>
          <w:szCs w:val="26"/>
          <w:lang w:val="uk-UA"/>
        </w:rPr>
      </w:pPr>
      <w:r>
        <w:rPr>
          <w:rFonts w:ascii="Times New Roman" w:hAnsi="Times New Roman"/>
          <w:color w:val="000000"/>
          <w:sz w:val="26"/>
          <w:szCs w:val="26"/>
          <w:lang w:val="uk-UA"/>
        </w:rPr>
        <w:lastRenderedPageBreak/>
        <w:t xml:space="preserve">реконструкція автомобільних доріг державного значення М-18 Харків – Сімферополь – Алушта – Ялта та Р–47 Херсон – Нова Каховка – Генічеськ за параметрами І технічної категорії з шириною проїзної частини </w:t>
      </w:r>
      <w:smartTag w:uri="urn:schemas-microsoft-com:office:smarttags" w:element="metricconverter">
        <w:smartTagPr>
          <w:attr w:name="ProductID" w:val="15,0 м"/>
        </w:smartTagPr>
        <w:r>
          <w:rPr>
            <w:rFonts w:ascii="Times New Roman" w:hAnsi="Times New Roman"/>
            <w:color w:val="000000"/>
            <w:sz w:val="26"/>
            <w:szCs w:val="26"/>
            <w:lang w:val="uk-UA"/>
          </w:rPr>
          <w:t>15,0 м</w:t>
        </w:r>
      </w:smartTag>
      <w:r>
        <w:rPr>
          <w:rFonts w:ascii="Times New Roman" w:hAnsi="Times New Roman"/>
          <w:color w:val="000000"/>
          <w:sz w:val="26"/>
          <w:szCs w:val="26"/>
          <w:lang w:val="uk-UA"/>
        </w:rPr>
        <w:t>.</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Існуюча автомобільна дорога місцевого значення О220706 Генічеськ – Стрілкове буде виконувати функції внутрішньо курортної та передбачено майже повністю вивільнити її від зовнішнього транспорту (окрім транспорту екстрених служб). </w:t>
      </w:r>
    </w:p>
    <w:p w:rsidR="00BC4179" w:rsidRDefault="00BC4179" w:rsidP="00BC4179">
      <w:pPr>
        <w:keepNext/>
        <w:spacing w:after="0" w:line="360" w:lineRule="auto"/>
        <w:jc w:val="center"/>
        <w:rPr>
          <w:rFonts w:ascii="Times New Roman" w:hAnsi="Times New Roman"/>
          <w:color w:val="000000"/>
          <w:sz w:val="26"/>
          <w:szCs w:val="26"/>
          <w:u w:val="single"/>
          <w:lang w:val="uk-UA"/>
        </w:rPr>
      </w:pPr>
      <w:r>
        <w:rPr>
          <w:rFonts w:ascii="Times New Roman" w:hAnsi="Times New Roman"/>
          <w:color w:val="000000"/>
          <w:sz w:val="26"/>
          <w:szCs w:val="26"/>
          <w:u w:val="single"/>
          <w:lang w:val="uk-UA"/>
        </w:rPr>
        <w:t>Залізничний транспорт</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Обслуговування території «IntermedicalEcoCity» залізничним транспортом передбачено залізничною станцією Новоолексіївка, яка розташована на двоколійній електрифікованій залізничний лінії Мелітополь – Джанкой.</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Крім того, відповідно до Концепції створення та функціонування національної мережі транспортних коридорів в Україна залізнична лінія Мелітополь – Джанкой є ділянкою залізничного транспортного коридору ЧЕС з відгалуженням – Рені – Ізмаїл – Одеса – Колосівка – Помічна – Знам’янка – Дніпропетровськ – Ясинувата – Квашине, Харків – Синельникове – Джанкой – Сімферополь – Севастополь, Колосівка – Миколаїв – Херсон – Чаплине – Бердянськ. В зв’язку з цим передбачена модернізація залізничної лінії та будівництво третьої колії на ділянці Мелітополь – Джанкой – Сімферополь. Зазначені заходи сприятимуть збільшенню кількість відпочивальників «IntermedicalEcoCity», які приїжджатимуть з південних областей України.</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На більш далеку перспективу (після початку функціонування «IntermedicalEcoCity») для підвезення відпочивальників до території «IntermedicalEcoCity» передбачено організувати наземну лінію легких та безшумних електропоїздів типу «Радан», яка пройде від залізничної станції Новоолексіївка до території «IntermedicalEcoCity». На лінії передбачено організувати зупинки: в районі ст.Новолексіївка, аеропорт «Генічеськ», біля перехоплюючої автостоянки на в’їзді до Арабатської стрілка та кінцева зупинка «IntermedicalEcoCity». Проходження «Радану» по території Арабатської стрілки передбачено вздовж проектної територіальної автомобільної дороги державного значення.</w:t>
      </w:r>
    </w:p>
    <w:p w:rsidR="00BC4179" w:rsidRDefault="00BC4179" w:rsidP="00BC4179">
      <w:pPr>
        <w:keepNext/>
        <w:spacing w:after="0" w:line="360" w:lineRule="auto"/>
        <w:jc w:val="center"/>
        <w:rPr>
          <w:rFonts w:ascii="Times New Roman" w:hAnsi="Times New Roman"/>
          <w:color w:val="000000"/>
          <w:sz w:val="26"/>
          <w:szCs w:val="26"/>
          <w:u w:val="single"/>
          <w:lang w:val="uk-UA"/>
        </w:rPr>
      </w:pPr>
      <w:r>
        <w:rPr>
          <w:rFonts w:ascii="Times New Roman" w:hAnsi="Times New Roman"/>
          <w:color w:val="000000"/>
          <w:sz w:val="26"/>
          <w:szCs w:val="26"/>
          <w:u w:val="single"/>
          <w:lang w:val="uk-UA"/>
        </w:rPr>
        <w:lastRenderedPageBreak/>
        <w:t>Повітряний транспорт</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Повітряні зв’язки території «IntermedicalEcoCity» будуть виконуватись міжнародним аеропортом «Сімферополь», новим аеропортом місцевого значення «Генічеськ» та гелікоптерами. </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Прийом відпочивальників з різних міст світу передбачено міжнародним аеропортом «Сімферополь». Доставка відпочивальників до «IntermedicalEcoCity» буде відбуватися автомобільним транспортом (по автомобільній дорозі М-18 та новому мосту через затоку Сиваш) та гелікоптерами. </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Крім того, на більш далеку перспективу (після початку функціонування «IntermedicalEcoCity») прийом відпочивальників з України передбачено аеропортом місцевого значення «Генічеськ», який передбачено збудувати в північній частині зони впливу м. Генічеськ на території колишнього аеродрому. Доставка відпочивальників до «IntermedicalEcoCity» буде здійснюватись гелікоптерами (безпосередньо з аеропорту «Генічеськ») та електропоїздами лінії «Радан».</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Також для вирішення питання повітряного сполучення між територією «Intermedical Eco City» та основними населеними пунктами області та аеропортами, передбачено розміщення гелікоптерних майданчиків, які забезпечать налагоджену роботу аварійно-рятувальних, медичних, санітарних служб та надання сервісного обслуговування відпочивальникам.</w:t>
      </w:r>
    </w:p>
    <w:p w:rsidR="00BC4179" w:rsidRDefault="00BC4179" w:rsidP="00BC4179">
      <w:pPr>
        <w:keepNext/>
        <w:spacing w:after="0" w:line="360" w:lineRule="auto"/>
        <w:jc w:val="center"/>
        <w:rPr>
          <w:rFonts w:ascii="Times New Roman" w:hAnsi="Times New Roman"/>
          <w:color w:val="000000"/>
          <w:sz w:val="26"/>
          <w:szCs w:val="26"/>
          <w:u w:val="single"/>
          <w:lang w:val="uk-UA"/>
        </w:rPr>
      </w:pPr>
      <w:r>
        <w:rPr>
          <w:rFonts w:ascii="Times New Roman" w:hAnsi="Times New Roman"/>
          <w:color w:val="000000"/>
          <w:sz w:val="26"/>
          <w:szCs w:val="26"/>
          <w:u w:val="single"/>
          <w:lang w:val="uk-UA"/>
        </w:rPr>
        <w:t>Морський транспорт</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По морському транспорту передбачено будівництво нового причалу для прийому суден безпосередньо на території «IntermedicalEcoCity». </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Крім того, передбачено організацію зв’язків нового причалу з морськими портами Запорізької та Донецької області, а також з портами АР Крим, для перевезення відпочивальників.</w:t>
      </w:r>
    </w:p>
    <w:p w:rsidR="00BC4179" w:rsidRDefault="00BC4179" w:rsidP="00BC4179">
      <w:pPr>
        <w:keepNext/>
        <w:spacing w:after="0" w:line="360" w:lineRule="auto"/>
        <w:jc w:val="center"/>
        <w:rPr>
          <w:rFonts w:ascii="Times New Roman" w:hAnsi="Times New Roman"/>
          <w:b/>
          <w:i/>
          <w:color w:val="000000"/>
          <w:sz w:val="28"/>
          <w:szCs w:val="28"/>
          <w:lang w:val="uk-UA"/>
        </w:rPr>
      </w:pPr>
    </w:p>
    <w:p w:rsidR="00BC4179" w:rsidRDefault="00BC4179" w:rsidP="00BC4179">
      <w:pPr>
        <w:keepNext/>
        <w:spacing w:after="0" w:line="360" w:lineRule="auto"/>
        <w:jc w:val="center"/>
        <w:rPr>
          <w:rFonts w:ascii="Times New Roman" w:hAnsi="Times New Roman"/>
          <w:i/>
          <w:color w:val="000000"/>
          <w:sz w:val="26"/>
          <w:szCs w:val="26"/>
          <w:lang w:val="uk-UA"/>
        </w:rPr>
      </w:pPr>
      <w:r>
        <w:rPr>
          <w:rFonts w:ascii="Times New Roman" w:hAnsi="Times New Roman"/>
          <w:i/>
          <w:color w:val="000000"/>
          <w:sz w:val="26"/>
          <w:szCs w:val="26"/>
          <w:lang w:val="uk-UA"/>
        </w:rPr>
        <w:t>Внутрішній транспорт</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На перспективу територію «IntermedicalEcoCity» планується майже повністю вивільнити від транспорту (залишити лише транспорт екстрених служб: міліція, швидка допомога, пожежна), який погіршує екологічний стан. Обслуговування </w:t>
      </w:r>
      <w:r>
        <w:rPr>
          <w:rFonts w:ascii="Times New Roman" w:hAnsi="Times New Roman"/>
          <w:color w:val="000000"/>
          <w:sz w:val="26"/>
          <w:szCs w:val="26"/>
          <w:lang w:val="uk-UA"/>
        </w:rPr>
        <w:lastRenderedPageBreak/>
        <w:t>відпочивальників «IntermedicalEcoCity» буде виконуватись електротранспортом та велосипедами.</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Для забезпечення необхідного рівня безпеки руху електротранспорту, велотранспорту та пішоходів передбачається організація наземних пішохідних переходів на перехрестях та у фокусах формування пішохідного руху відповідно до нормативних показників і розміткою типу «Зебра».</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Кількість місць зберігання автотранспорту визначається виходячи з специфіки зони (що проектується), кількості відпочивальників, наявності обслуговуючого персоналу та очікуваного рівня автомобілізації.</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Для постійного зберігання індивідуальних легкових автомобілів відпочивальників та обслуговуючого персоналу (</w:t>
      </w:r>
      <w:r>
        <w:rPr>
          <w:rFonts w:ascii="Times New Roman" w:hAnsi="Times New Roman"/>
          <w:i/>
          <w:color w:val="000000"/>
          <w:sz w:val="26"/>
          <w:szCs w:val="26"/>
          <w:lang w:val="uk-UA"/>
        </w:rPr>
        <w:t>територія оздоровчо-рекреаційної та оздоровчої зони</w:t>
      </w:r>
      <w:r>
        <w:rPr>
          <w:rFonts w:ascii="Times New Roman" w:hAnsi="Times New Roman"/>
          <w:color w:val="000000"/>
          <w:sz w:val="26"/>
          <w:szCs w:val="26"/>
          <w:lang w:val="uk-UA"/>
        </w:rPr>
        <w:t>) передбачено будівництво перехоплюючої автостоянки (багатоповерхового гаражу) на в’їзді – виїзді з Арабатської стрілки загальною кількістю 2200 машиномісць (в максимально літній сезон). Поруч з перехоплюючою автостоянкою передбачено будівництво зупинки електропоїзда лінії «Радан», для зручної пересадки з одного виду транспорту на інший.</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Обслуговування відпочивальників всередині території «IntermedicalEcoCity» буде виконуватись електрокарами місткістю 4-6 місць. Зберігання електрокарів буде здійснюватись на територіях рекреаційних установ.</w:t>
      </w: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Передбачено організацію стоянок для тимчасового зберігання електротранспорту (електрокарів) та велотранспорту біля громадських будинків та споруд масового відвідування. Нижче в таблиці 3.3 наведений розрахунок кількості машиномісць для тимчасового зберігання електротранспорту та веломісць для зберігання велосипедів.</w:t>
      </w:r>
    </w:p>
    <w:p w:rsidR="00BC4179" w:rsidRDefault="00BC4179" w:rsidP="00BC4179">
      <w:pPr>
        <w:spacing w:after="0" w:line="360" w:lineRule="auto"/>
        <w:ind w:firstLine="709"/>
        <w:jc w:val="both"/>
        <w:rPr>
          <w:rFonts w:ascii="Times New Roman" w:hAnsi="Times New Roman"/>
          <w:color w:val="000000"/>
          <w:sz w:val="26"/>
          <w:szCs w:val="26"/>
          <w:lang w:val="uk-UA"/>
        </w:rPr>
      </w:pPr>
    </w:p>
    <w:p w:rsidR="00BC4179" w:rsidRDefault="00BC4179" w:rsidP="00BC4179">
      <w:pPr>
        <w:spacing w:after="0" w:line="360" w:lineRule="auto"/>
        <w:ind w:firstLine="709"/>
        <w:jc w:val="both"/>
        <w:rPr>
          <w:rFonts w:ascii="Times New Roman" w:hAnsi="Times New Roman"/>
          <w:color w:val="000000"/>
          <w:sz w:val="26"/>
          <w:szCs w:val="26"/>
          <w:lang w:val="uk-UA"/>
        </w:rPr>
      </w:pPr>
    </w:p>
    <w:p w:rsidR="00BC4179" w:rsidRDefault="00BC4179" w:rsidP="00BC4179">
      <w:pPr>
        <w:spacing w:after="0" w:line="360" w:lineRule="auto"/>
        <w:ind w:firstLine="709"/>
        <w:jc w:val="both"/>
        <w:rPr>
          <w:rFonts w:ascii="Times New Roman" w:hAnsi="Times New Roman"/>
          <w:color w:val="000000"/>
          <w:sz w:val="26"/>
          <w:szCs w:val="26"/>
          <w:lang w:val="uk-UA"/>
        </w:rPr>
      </w:pPr>
      <w:r>
        <w:rPr>
          <w:rFonts w:ascii="Times New Roman" w:hAnsi="Times New Roman"/>
          <w:color w:val="000000"/>
          <w:sz w:val="26"/>
          <w:szCs w:val="26"/>
          <w:lang w:val="uk-UA"/>
        </w:rPr>
        <w:t>Таблиця 3.3 – Розрахунок кількості машиномісць для тимчасового зберігання електротранспорту та веломісць для зберігання велосипедів</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7"/>
        <w:gridCol w:w="1642"/>
        <w:gridCol w:w="1630"/>
        <w:gridCol w:w="1338"/>
        <w:gridCol w:w="1566"/>
      </w:tblGrid>
      <w:tr w:rsidR="00BC4179" w:rsidTr="00BC4179">
        <w:trPr>
          <w:trHeight w:val="765"/>
          <w:tblHeade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b/>
                <w:sz w:val="20"/>
                <w:szCs w:val="20"/>
                <w:lang w:val="uk-UA"/>
              </w:rPr>
              <w:t>Назва установ</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b/>
                <w:sz w:val="20"/>
                <w:szCs w:val="20"/>
                <w:lang w:val="uk-UA"/>
              </w:rPr>
              <w:t>Кількість машино-місць (електрокари)</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pageBreakBefore/>
              <w:spacing w:before="20" w:after="20" w:line="240" w:lineRule="auto"/>
              <w:jc w:val="center"/>
              <w:rPr>
                <w:rFonts w:ascii="Times New Roman" w:hAnsi="Times New Roman"/>
                <w:b/>
                <w:sz w:val="20"/>
                <w:szCs w:val="20"/>
                <w:vertAlign w:val="superscript"/>
                <w:lang w:val="uk-UA"/>
              </w:rPr>
            </w:pPr>
            <w:r>
              <w:rPr>
                <w:rFonts w:ascii="Times New Roman" w:hAnsi="Times New Roman"/>
                <w:b/>
                <w:sz w:val="20"/>
                <w:szCs w:val="20"/>
                <w:lang w:val="uk-UA"/>
              </w:rPr>
              <w:t>Загальна площа (під електрокари), м</w:t>
            </w:r>
            <w:r>
              <w:rPr>
                <w:rFonts w:ascii="Times New Roman" w:hAnsi="Times New Roman"/>
                <w:b/>
                <w:sz w:val="20"/>
                <w:szCs w:val="20"/>
                <w:vertAlign w:val="superscript"/>
                <w:lang w:val="uk-UA"/>
              </w:rPr>
              <w:t>2</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pageBreakBefore/>
              <w:spacing w:before="20" w:after="20" w:line="240" w:lineRule="auto"/>
              <w:jc w:val="center"/>
              <w:rPr>
                <w:rFonts w:ascii="Times New Roman" w:hAnsi="Times New Roman"/>
                <w:b/>
                <w:sz w:val="20"/>
                <w:szCs w:val="20"/>
                <w:lang w:val="uk-UA"/>
              </w:rPr>
            </w:pPr>
            <w:r>
              <w:rPr>
                <w:rFonts w:ascii="Times New Roman" w:hAnsi="Times New Roman"/>
                <w:b/>
                <w:sz w:val="20"/>
                <w:szCs w:val="20"/>
                <w:lang w:val="uk-UA"/>
              </w:rPr>
              <w:t>Кількість веломісць</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pageBreakBefore/>
              <w:spacing w:before="20" w:after="20" w:line="240" w:lineRule="auto"/>
              <w:jc w:val="center"/>
              <w:rPr>
                <w:rFonts w:ascii="Times New Roman" w:hAnsi="Times New Roman"/>
                <w:b/>
                <w:sz w:val="20"/>
                <w:szCs w:val="20"/>
                <w:vertAlign w:val="superscript"/>
                <w:lang w:val="uk-UA"/>
              </w:rPr>
            </w:pPr>
            <w:r>
              <w:rPr>
                <w:rFonts w:ascii="Times New Roman" w:hAnsi="Times New Roman"/>
                <w:b/>
                <w:sz w:val="20"/>
                <w:szCs w:val="20"/>
                <w:lang w:val="uk-UA"/>
              </w:rPr>
              <w:t>Загальна площа (під велосипеди), м</w:t>
            </w:r>
            <w:r>
              <w:rPr>
                <w:rFonts w:ascii="Times New Roman" w:hAnsi="Times New Roman"/>
                <w:b/>
                <w:sz w:val="20"/>
                <w:szCs w:val="20"/>
                <w:vertAlign w:val="superscript"/>
                <w:lang w:val="uk-UA"/>
              </w:rPr>
              <w:t>2</w:t>
            </w:r>
          </w:p>
        </w:tc>
      </w:tr>
      <w:tr w:rsidR="00BC4179" w:rsidTr="00BC4179">
        <w:trPr>
          <w:trHeight w:val="297"/>
          <w:jc w:val="center"/>
        </w:trPr>
        <w:tc>
          <w:tcPr>
            <w:tcW w:w="9523" w:type="dxa"/>
            <w:gridSpan w:val="5"/>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b/>
                <w:sz w:val="24"/>
                <w:szCs w:val="24"/>
                <w:lang w:val="uk-UA"/>
              </w:rPr>
              <w:t>І. Оздоровчо-рекреаційна зона</w:t>
            </w:r>
          </w:p>
        </w:tc>
      </w:tr>
      <w:tr w:rsidR="00BC4179" w:rsidTr="00BC4179">
        <w:trPr>
          <w:trHeight w:val="765"/>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lastRenderedPageBreak/>
              <w:t>Адміністративний будинок з бібліотекою, галереєю та виставковими залами</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120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18</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Культові споруди</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180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15</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18</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Універсальний видовищно-розважальний центр (амфітеатр)</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1800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Терми</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40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480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24</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Спортивний клуб (на півдні)</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36</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Спортивний кантрі-клуб (на півночі)</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36</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Яхт-клуб</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36</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4 торгових комплекси</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4×30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4×360=1440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4×15</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4×18=72</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Медичний коледж на 500 учнів</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360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30</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2 Етно-комплекси по 550 місць (зона №1)</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2×100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2×1200=2400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2×60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2×72=144</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2 Етно-комплекси по 200 місць (зона №2)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2×100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2×1200=2400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2×60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2×72=144</w:t>
            </w:r>
          </w:p>
        </w:tc>
      </w:tr>
      <w:tr w:rsidR="00BC4179" w:rsidTr="00BC4179">
        <w:trPr>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Диско-клуби (3 клуби по 200 місць)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3×30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3×360=1080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3×15</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3×18=54</w:t>
            </w:r>
          </w:p>
        </w:tc>
      </w:tr>
      <w:tr w:rsidR="00BC4179" w:rsidTr="00BC4179">
        <w:trPr>
          <w:trHeight w:val="392"/>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Комунальна зона</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36</w:t>
            </w:r>
          </w:p>
        </w:tc>
      </w:tr>
      <w:tr w:rsidR="00BC4179" w:rsidTr="00BC4179">
        <w:trPr>
          <w:trHeight w:val="210"/>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i/>
                <w:sz w:val="24"/>
                <w:szCs w:val="24"/>
                <w:lang w:val="uk-UA"/>
              </w:rPr>
            </w:pPr>
            <w:r>
              <w:rPr>
                <w:rFonts w:ascii="Times New Roman" w:hAnsi="Times New Roman"/>
                <w:i/>
                <w:sz w:val="24"/>
                <w:szCs w:val="24"/>
                <w:lang w:val="uk-UA"/>
              </w:rPr>
              <w:t>Разом по оздоровчо-рекреаційній зоні</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1055</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12660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470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564</w:t>
            </w:r>
          </w:p>
        </w:tc>
      </w:tr>
      <w:tr w:rsidR="00BC4179" w:rsidTr="00BC4179">
        <w:trPr>
          <w:trHeight w:val="330"/>
          <w:jc w:val="center"/>
        </w:trPr>
        <w:tc>
          <w:tcPr>
            <w:tcW w:w="9523" w:type="dxa"/>
            <w:gridSpan w:val="5"/>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b/>
                <w:sz w:val="24"/>
                <w:szCs w:val="24"/>
                <w:lang w:val="uk-UA"/>
              </w:rPr>
            </w:pPr>
            <w:r>
              <w:rPr>
                <w:rFonts w:ascii="Times New Roman" w:hAnsi="Times New Roman"/>
                <w:b/>
                <w:sz w:val="24"/>
                <w:szCs w:val="24"/>
                <w:lang w:val="uk-UA"/>
              </w:rPr>
              <w:t>ІІІ. Парково-громадська зона</w:t>
            </w:r>
          </w:p>
        </w:tc>
      </w:tr>
      <w:tr w:rsidR="00BC4179" w:rsidTr="00BC4179">
        <w:trPr>
          <w:trHeight w:val="510"/>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Універсальний розважальний центр</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72</w:t>
            </w:r>
          </w:p>
        </w:tc>
      </w:tr>
      <w:tr w:rsidR="00BC4179" w:rsidTr="00BC4179">
        <w:trPr>
          <w:trHeight w:val="285"/>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Спортивний центр</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60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72</w:t>
            </w:r>
          </w:p>
        </w:tc>
      </w:tr>
      <w:tr w:rsidR="00BC4179" w:rsidTr="00BC4179">
        <w:trPr>
          <w:trHeight w:val="300"/>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Торговий комплекс</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100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1200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120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144</w:t>
            </w:r>
          </w:p>
        </w:tc>
      </w:tr>
      <w:tr w:rsidR="00BC4179" w:rsidTr="00BC4179">
        <w:trPr>
          <w:trHeight w:val="315"/>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«Діснейленд»</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80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960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100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120</w:t>
            </w:r>
          </w:p>
        </w:tc>
      </w:tr>
      <w:tr w:rsidR="00BC4179" w:rsidTr="00BC4179">
        <w:trPr>
          <w:trHeight w:val="330"/>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sz w:val="24"/>
                <w:szCs w:val="24"/>
                <w:lang w:val="uk-UA"/>
              </w:rPr>
            </w:pPr>
            <w:r>
              <w:rPr>
                <w:rFonts w:ascii="Times New Roman" w:hAnsi="Times New Roman"/>
                <w:sz w:val="24"/>
                <w:szCs w:val="24"/>
                <w:lang w:val="uk-UA"/>
              </w:rPr>
              <w:t>Аквапарк</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80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960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100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sz w:val="24"/>
                <w:szCs w:val="24"/>
                <w:lang w:val="uk-UA"/>
              </w:rPr>
            </w:pPr>
            <w:r>
              <w:rPr>
                <w:rFonts w:ascii="Times New Roman" w:hAnsi="Times New Roman"/>
                <w:sz w:val="24"/>
                <w:szCs w:val="24"/>
                <w:lang w:val="uk-UA"/>
              </w:rPr>
              <w:t>120</w:t>
            </w:r>
          </w:p>
        </w:tc>
      </w:tr>
      <w:tr w:rsidR="00BC4179" w:rsidTr="00BC4179">
        <w:trPr>
          <w:trHeight w:val="180"/>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i/>
                <w:sz w:val="24"/>
                <w:szCs w:val="24"/>
                <w:lang w:val="uk-UA"/>
              </w:rPr>
            </w:pPr>
            <w:r>
              <w:rPr>
                <w:rFonts w:ascii="Times New Roman" w:hAnsi="Times New Roman"/>
                <w:i/>
                <w:sz w:val="24"/>
                <w:szCs w:val="24"/>
                <w:lang w:val="uk-UA"/>
              </w:rPr>
              <w:t>Разом по парково-громадській зоні</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360</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4320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440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i/>
                <w:sz w:val="24"/>
                <w:szCs w:val="24"/>
                <w:lang w:val="uk-UA"/>
              </w:rPr>
            </w:pPr>
            <w:r>
              <w:rPr>
                <w:rFonts w:ascii="Times New Roman" w:hAnsi="Times New Roman"/>
                <w:i/>
                <w:sz w:val="24"/>
                <w:szCs w:val="24"/>
                <w:lang w:val="uk-UA"/>
              </w:rPr>
              <w:t>528</w:t>
            </w:r>
          </w:p>
        </w:tc>
      </w:tr>
      <w:tr w:rsidR="00BC4179" w:rsidTr="00BC4179">
        <w:trPr>
          <w:trHeight w:val="435"/>
          <w:jc w:val="center"/>
        </w:trPr>
        <w:tc>
          <w:tcPr>
            <w:tcW w:w="3347"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rPr>
                <w:rFonts w:ascii="Times New Roman" w:hAnsi="Times New Roman"/>
                <w:b/>
                <w:sz w:val="24"/>
                <w:szCs w:val="24"/>
                <w:lang w:val="uk-UA"/>
              </w:rPr>
            </w:pPr>
            <w:r>
              <w:rPr>
                <w:rFonts w:ascii="Times New Roman" w:hAnsi="Times New Roman"/>
                <w:b/>
                <w:sz w:val="24"/>
                <w:szCs w:val="24"/>
                <w:lang w:val="uk-UA"/>
              </w:rPr>
              <w:t>Всього по «IntermedicalEcoCity»</w:t>
            </w:r>
          </w:p>
        </w:tc>
        <w:tc>
          <w:tcPr>
            <w:tcW w:w="1642"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b/>
                <w:sz w:val="24"/>
                <w:szCs w:val="24"/>
                <w:lang w:val="uk-UA"/>
              </w:rPr>
            </w:pPr>
            <w:r>
              <w:rPr>
                <w:rFonts w:ascii="Times New Roman" w:hAnsi="Times New Roman"/>
                <w:b/>
                <w:sz w:val="24"/>
                <w:szCs w:val="24"/>
                <w:lang w:val="uk-UA"/>
              </w:rPr>
              <w:t>1415</w:t>
            </w:r>
          </w:p>
        </w:tc>
        <w:tc>
          <w:tcPr>
            <w:tcW w:w="1630"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b/>
                <w:sz w:val="24"/>
                <w:szCs w:val="24"/>
                <w:lang w:val="uk-UA"/>
              </w:rPr>
            </w:pPr>
            <w:r>
              <w:rPr>
                <w:rFonts w:ascii="Times New Roman" w:hAnsi="Times New Roman"/>
                <w:b/>
                <w:sz w:val="24"/>
                <w:szCs w:val="24"/>
                <w:lang w:val="uk-UA"/>
              </w:rPr>
              <w:t>16980</w:t>
            </w:r>
          </w:p>
        </w:tc>
        <w:tc>
          <w:tcPr>
            <w:tcW w:w="1338"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b/>
                <w:sz w:val="24"/>
                <w:szCs w:val="24"/>
                <w:lang w:val="uk-UA"/>
              </w:rPr>
            </w:pPr>
            <w:r>
              <w:rPr>
                <w:rFonts w:ascii="Times New Roman" w:hAnsi="Times New Roman"/>
                <w:b/>
                <w:sz w:val="24"/>
                <w:szCs w:val="24"/>
                <w:lang w:val="uk-UA"/>
              </w:rPr>
              <w:t>910</w:t>
            </w:r>
          </w:p>
        </w:tc>
        <w:tc>
          <w:tcPr>
            <w:tcW w:w="1566" w:type="dxa"/>
            <w:tcBorders>
              <w:top w:val="single" w:sz="4" w:space="0" w:color="auto"/>
              <w:left w:val="single" w:sz="4" w:space="0" w:color="auto"/>
              <w:bottom w:val="single" w:sz="4" w:space="0" w:color="auto"/>
              <w:right w:val="single" w:sz="4" w:space="0" w:color="auto"/>
            </w:tcBorders>
            <w:vAlign w:val="center"/>
            <w:hideMark/>
          </w:tcPr>
          <w:p w:rsidR="00BC4179" w:rsidRDefault="00BC4179">
            <w:pPr>
              <w:spacing w:before="20" w:after="20" w:line="240" w:lineRule="auto"/>
              <w:jc w:val="center"/>
              <w:rPr>
                <w:rFonts w:ascii="Times New Roman" w:hAnsi="Times New Roman"/>
                <w:b/>
                <w:sz w:val="24"/>
                <w:szCs w:val="24"/>
                <w:lang w:val="uk-UA"/>
              </w:rPr>
            </w:pPr>
            <w:r>
              <w:rPr>
                <w:rFonts w:ascii="Times New Roman" w:hAnsi="Times New Roman"/>
                <w:b/>
                <w:sz w:val="24"/>
                <w:szCs w:val="24"/>
                <w:lang w:val="uk-UA"/>
              </w:rPr>
              <w:t>1092</w:t>
            </w:r>
          </w:p>
        </w:tc>
      </w:tr>
    </w:tbl>
    <w:p w:rsidR="00000000" w:rsidRDefault="00BC417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21FB7"/>
    <w:multiLevelType w:val="hybridMultilevel"/>
    <w:tmpl w:val="3486510C"/>
    <w:lvl w:ilvl="0" w:tplc="D9C87348">
      <w:numFmt w:val="bullet"/>
      <w:lvlText w:val="-"/>
      <w:lvlJc w:val="left"/>
      <w:pPr>
        <w:tabs>
          <w:tab w:val="num" w:pos="360"/>
        </w:tabs>
        <w:ind w:left="360" w:hanging="360"/>
      </w:pPr>
      <w:rPr>
        <w:rFonts w:ascii="Arial" w:eastAsia="Times New Roman"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C054022"/>
    <w:multiLevelType w:val="hybridMultilevel"/>
    <w:tmpl w:val="25A0D3DC"/>
    <w:lvl w:ilvl="0" w:tplc="F21A9408">
      <w:numFmt w:val="bullet"/>
      <w:lvlText w:val="-"/>
      <w:lvlJc w:val="left"/>
      <w:pPr>
        <w:tabs>
          <w:tab w:val="num" w:pos="397"/>
        </w:tabs>
        <w:ind w:left="397" w:hanging="397"/>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BC4179"/>
    <w:rsid w:val="00BC4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79"/>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0663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7302</Characters>
  <Application>Microsoft Office Word</Application>
  <DocSecurity>0</DocSecurity>
  <Lines>60</Lines>
  <Paragraphs>17</Paragraphs>
  <ScaleCrop>false</ScaleCrop>
  <Company/>
  <LinksUpToDate>false</LinksUpToDate>
  <CharactersWithSpaces>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Суленко</dc:creator>
  <cp:keywords/>
  <dc:description/>
  <cp:lastModifiedBy>Александр Суленко</cp:lastModifiedBy>
  <cp:revision>2</cp:revision>
  <dcterms:created xsi:type="dcterms:W3CDTF">2013-08-08T10:45:00Z</dcterms:created>
  <dcterms:modified xsi:type="dcterms:W3CDTF">2013-08-08T10:45:00Z</dcterms:modified>
</cp:coreProperties>
</file>