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0E" w:rsidRDefault="00BF270E" w:rsidP="00BF270E">
      <w:pPr>
        <w:spacing w:after="0" w:line="360" w:lineRule="auto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3.2.4.3. Інженерне обладнання території</w:t>
      </w:r>
    </w:p>
    <w:p w:rsidR="00BF270E" w:rsidRDefault="00BF270E" w:rsidP="00BF270E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Водопостачання і каналізація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Забудову території Міста майбутнього „InterMedicalEcoCiti” що проектуються передбачається обладнати системами водопостачання та каналізації.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Потреба у воді питної якості території, що проектується складе </w:t>
      </w:r>
      <w:smartTag w:uri="urn:schemas-microsoft-com:office:smarttags" w:element="metricconverter">
        <w:smartTagPr>
          <w:attr w:name="ProductID" w:val="3861,21 м3"/>
        </w:smartTagPr>
        <w:r>
          <w:rPr>
            <w:rFonts w:ascii="Times New Roman" w:hAnsi="Times New Roman"/>
            <w:sz w:val="26"/>
            <w:szCs w:val="26"/>
            <w:lang w:val="uk-UA"/>
          </w:rPr>
          <w:t>3861,21 м</w:t>
        </w:r>
        <w:r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за максимальну добу; </w:t>
      </w:r>
      <w:r>
        <w:rPr>
          <w:rFonts w:ascii="Times New Roman" w:eastAsia="MS Mincho" w:hAnsi="Times New Roman"/>
          <w:sz w:val="26"/>
          <w:szCs w:val="26"/>
          <w:lang w:val="uk-UA"/>
        </w:rPr>
        <w:t xml:space="preserve">технічної води на зрошення і поливання територій </w:t>
      </w:r>
      <w:smartTag w:uri="urn:schemas-microsoft-com:office:smarttags" w:element="metricconverter">
        <w:smartTagPr>
          <w:attr w:name="ProductID" w:val="4058,56 м3"/>
        </w:smartTagPr>
        <w:r>
          <w:rPr>
            <w:rFonts w:ascii="Times New Roman" w:hAnsi="Times New Roman"/>
            <w:sz w:val="26"/>
            <w:szCs w:val="26"/>
            <w:lang w:val="uk-UA"/>
          </w:rPr>
          <w:t>4058,56 м</w:t>
        </w:r>
        <w:r>
          <w:rPr>
            <w:rFonts w:ascii="Times New Roman" w:hAnsi="Times New Roman"/>
            <w:sz w:val="26"/>
            <w:szCs w:val="26"/>
            <w:vertAlign w:val="superscript"/>
            <w:lang w:val="uk-UA"/>
          </w:rPr>
          <w:t>3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за максимальну добу (ДБН 360-92**). Розрахунки по групах водокористувачів наведені у таблиці нижче.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Покриття розрахункової потреби у воді питної якості передбачається із підземних джерел. За гідрогеологічними умовами основним водоносним горизонтом в районі детального планування території є горизонт верхньоміоценових відкладів. Глибина залягання комплексу 70 - </w:t>
      </w:r>
      <w:smartTag w:uri="urn:schemas-microsoft-com:office:smarttags" w:element="metricconverter">
        <w:smartTagPr>
          <w:attr w:name="ProductID" w:val="120 м"/>
        </w:smartTagPr>
        <w:r>
          <w:rPr>
            <w:rFonts w:ascii="Times New Roman" w:hAnsi="Times New Roman"/>
            <w:sz w:val="26"/>
            <w:szCs w:val="26"/>
            <w:lang w:val="uk-UA"/>
          </w:rPr>
          <w:t>120 м</w:t>
        </w:r>
      </w:smartTag>
      <w:r>
        <w:rPr>
          <w:rFonts w:ascii="Times New Roman" w:hAnsi="Times New Roman"/>
          <w:sz w:val="26"/>
          <w:szCs w:val="26"/>
          <w:lang w:val="uk-UA"/>
        </w:rPr>
        <w:t>, максимальний дебіт свердловин, що експлуатуються - 5-18 л/с, горизонт надзвичайно водоємний. Води гідрокарбонатні, з мінералізацією до 0,9 г/л. Розрахункова продуктивність свердловин за 20 годин за добу та дебіту 12 л/с – 0,86 тис. м</w:t>
      </w:r>
      <w:r>
        <w:rPr>
          <w:rFonts w:ascii="Times New Roman" w:hAnsi="Times New Roman"/>
          <w:sz w:val="26"/>
          <w:szCs w:val="26"/>
          <w:vertAlign w:val="superscript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/добу.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Для забезпечення водою питної якості території Міста майбутнього „InterMedicalEcoCiti” проектом передбачається будівництво двох окремих систем питного водопостачання. Для зони № I проектуються дві ділянки водопровідних споруд та 4 свердловини. Для зон № II та №III проектується одна ділянка водопровідних споруд і одна артезіанська свердловина. Зона санітарної охорони першого поясу підземних джерел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6"/>
            <w:szCs w:val="26"/>
            <w:lang w:val="uk-UA"/>
          </w:rPr>
          <w:t>30 м</w:t>
        </w:r>
      </w:smartTag>
      <w:r>
        <w:rPr>
          <w:rFonts w:ascii="Times New Roman" w:hAnsi="Times New Roman"/>
          <w:sz w:val="26"/>
          <w:szCs w:val="26"/>
          <w:lang w:val="uk-UA"/>
        </w:rPr>
        <w:t>, другий та третій пояси розраховуються на стадії робочого проектування водозабору. На кожній ділянці передбачаються напірно-регулюючі резервуари, споруди знезаражування та поліпшення якості води (при необхідності), будівництво насосної станції II підйому.</w:t>
      </w:r>
    </w:p>
    <w:p w:rsidR="00BF270E" w:rsidRDefault="00BF270E" w:rsidP="00BF270E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lang w:val="uk-UA"/>
        </w:rPr>
      </w:pPr>
      <w:bookmarkStart w:id="0" w:name="_Toc359931495"/>
      <w:r>
        <w:rPr>
          <w:rFonts w:ascii="Times New Roman" w:hAnsi="Times New Roman"/>
          <w:i/>
          <w:sz w:val="26"/>
          <w:szCs w:val="26"/>
          <w:lang w:val="uk-UA"/>
        </w:rPr>
        <w:t>Санітарне очищення</w:t>
      </w:r>
      <w:bookmarkEnd w:id="0"/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Відповідно до норм ДБН 360-92** розрахунковий об’єм накопичення твердих побутових відходів (ТПВ) та сміття з вулиць на розрахунковий строк складе 4,21 тис. т/рік. Чисельність рекреантів цілорічних – 13200 осіб. Норма накопичення ТПВ 290 кг/рік, сміття та невраховані 10%. Необхідна площа полігону з розрахунку </w:t>
      </w:r>
      <w:smartTag w:uri="urn:schemas-microsoft-com:office:smarttags" w:element="metricconverter">
        <w:smartTagPr>
          <w:attr w:name="ProductID" w:val="0,02 га"/>
        </w:smartTagPr>
        <w:r>
          <w:rPr>
            <w:rFonts w:ascii="Times New Roman" w:hAnsi="Times New Roman"/>
            <w:sz w:val="26"/>
            <w:szCs w:val="26"/>
            <w:lang w:val="uk-UA"/>
          </w:rPr>
          <w:t>0,02 га</w:t>
        </w:r>
      </w:smartTag>
      <w:r>
        <w:rPr>
          <w:rFonts w:ascii="Times New Roman" w:hAnsi="Times New Roman"/>
          <w:sz w:val="26"/>
          <w:szCs w:val="26"/>
          <w:lang w:val="uk-UA"/>
        </w:rPr>
        <w:t xml:space="preserve"> на 1 тис. т відходів на розрахунковий строк (20 років) – </w:t>
      </w:r>
      <w:smartTag w:uri="urn:schemas-microsoft-com:office:smarttags" w:element="metricconverter">
        <w:smartTagPr>
          <w:attr w:name="ProductID" w:val="1,68 га"/>
        </w:smartTagPr>
        <w:r>
          <w:rPr>
            <w:rFonts w:ascii="Times New Roman" w:hAnsi="Times New Roman"/>
            <w:sz w:val="26"/>
            <w:szCs w:val="26"/>
            <w:lang w:val="uk-UA"/>
          </w:rPr>
          <w:t>1,68 га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У зв'язку з тим, що проблема знешкодження ТПВ актуальна для всього регіону та облаштування екологічно чистого підприємства по знешкодженню вимагає значних одноразових витрат, рекомендується прийняти участь у розробці регіональної схеми санітарного очищення з проробленням варіанта дальнього транспортування, будівництва районного підприємства промислової переробки і знешкодження відходів. </w:t>
      </w:r>
      <w:r>
        <w:rPr>
          <w:rFonts w:ascii="Times New Roman" w:hAnsi="Times New Roman"/>
          <w:bCs/>
          <w:sz w:val="26"/>
          <w:szCs w:val="26"/>
          <w:lang w:val="uk-UA"/>
        </w:rPr>
        <w:t>Вибір ділянки під розміщення підприємства по переробці ТПВ доцільно проводити в межах рекультивованих частин діючих звалищ або в межах відпрацьованих кар’єрів.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Також з метою забезпечення виконання “Програми поводження з твердими побутовими відходами“ (постанова Кабінетові Міністрів України від 4.04.2004 р. №265) передбачається подальше впровадження організації роздільного збору твердих побутових відходів з наступним використанням і утилізацією. За умови організації роздільного збору обсяг вивозу твердих побутових відходів можна зменшити на 30-50%.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санітарного очищення необхідно: 3 сміттєвоза та 7 прибиральних машин та механізмів.</w:t>
      </w:r>
    </w:p>
    <w:p w:rsidR="00BF270E" w:rsidRDefault="00BF270E" w:rsidP="00BF270E">
      <w:pPr>
        <w:spacing w:after="0" w:line="360" w:lineRule="auto"/>
        <w:ind w:firstLine="709"/>
        <w:jc w:val="center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Енергопостачання</w:t>
      </w:r>
    </w:p>
    <w:p w:rsidR="00BF270E" w:rsidRDefault="00BF270E" w:rsidP="00BF270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Проектом передбачається будівництво «Міста майбутнього» «InterMedicalEcoCity» з оздоровчо-рекреаційною та парково-громадською зонами. Для енергопостачання перспективного споживачів проектом пропонується </w:t>
      </w:r>
      <w:r>
        <w:rPr>
          <w:rFonts w:ascii="Times New Roman" w:hAnsi="Times New Roman"/>
          <w:sz w:val="26"/>
          <w:szCs w:val="26"/>
          <w:lang w:val="uk-UA" w:eastAsia="uk-UA"/>
        </w:rPr>
        <w:t xml:space="preserve">використання нетрадиційних і поновлюваних джерел енергії, </w:t>
      </w:r>
      <w:r>
        <w:rPr>
          <w:rFonts w:ascii="Times New Roman" w:hAnsi="Times New Roman"/>
          <w:sz w:val="26"/>
          <w:szCs w:val="26"/>
          <w:lang w:val="uk-UA"/>
        </w:rPr>
        <w:t>а саме енергії сонця. Потенціал сонячної енергії Арабатської Стрілки є достатньо високим для широкого впровадження теплоенергетичного обладнання. В кліматометеорологічних умовах території, що розглядається, є ефективним застосування плоских сонячних колекторів для сонячного теплопостачання, які використовують як пряму, так і розсіяну сонячну радіацію. Геліоустановки можна застосовувати в зонах децентралізованого теплопостачання та можуть бути розташовані на ділянках, що не забудовуються, а також на дахах будівель-споживачів тепла. Враховуючи нерівномірність надходження тепла, установки сонячної теплоенергетики більш доцільно доповнювати іншими енергетичними установками (наприклад, тепловими насосами).</w:t>
      </w:r>
    </w:p>
    <w:p w:rsidR="00000000" w:rsidRDefault="00BF270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F270E"/>
    <w:rsid w:val="00BF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2013-08-08T10:46:00Z</dcterms:created>
  <dcterms:modified xsi:type="dcterms:W3CDTF">2013-08-08T10:46:00Z</dcterms:modified>
</cp:coreProperties>
</file>