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A6" w:rsidRDefault="004722A6" w:rsidP="004722A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4.1.2.3. Розрахунок ємності установ і підприємств обслуговування</w:t>
      </w:r>
    </w:p>
    <w:p w:rsidR="004722A6" w:rsidRDefault="004722A6" w:rsidP="004722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722A6" w:rsidRDefault="004722A6" w:rsidP="004722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Розрахунок ємності установ і підприємств обслуговування населення виконаний у відповідності до норм «Державних будівельних норм України. «ДБН 360-92**» (додаток 6.2 (рекомендований)) з урахуванням прогнозної чисельності відпочивальників оздоровчо-рекреаційної зони - 10,7 тис. осіб та оздоровчої зони – 2,5 тис. осіб. Нижче в таблиці 4.9. наводиться розрахунок необхідної місткості установ та підприємств обслуговування на розрахунковий строк.</w:t>
      </w:r>
    </w:p>
    <w:p w:rsidR="004722A6" w:rsidRDefault="004722A6" w:rsidP="004722A6">
      <w:pPr>
        <w:spacing w:after="0" w:line="360" w:lineRule="auto"/>
        <w:rPr>
          <w:rFonts w:ascii="Times New Roman" w:hAnsi="Times New Roman"/>
          <w:sz w:val="26"/>
          <w:szCs w:val="26"/>
          <w:lang w:val="uk-UA"/>
        </w:rPr>
        <w:sectPr w:rsidR="004722A6">
          <w:pgSz w:w="11907" w:h="16840"/>
          <w:pgMar w:top="1134" w:right="850" w:bottom="1134" w:left="1701" w:header="709" w:footer="709" w:gutter="0"/>
          <w:pgNumType w:start="275"/>
          <w:cols w:space="720"/>
        </w:sectPr>
      </w:pPr>
    </w:p>
    <w:p w:rsidR="004722A6" w:rsidRDefault="004722A6" w:rsidP="004722A6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Таблиця 4.9. – Розрахунок необхідної місткості установ та підприємств обслуговування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5"/>
        <w:gridCol w:w="3059"/>
        <w:gridCol w:w="1979"/>
        <w:gridCol w:w="1799"/>
        <w:gridCol w:w="1383"/>
      </w:tblGrid>
      <w:tr w:rsidR="004722A6" w:rsidTr="003B67C4">
        <w:trPr>
          <w:cantSplit/>
          <w:tblHeader/>
          <w:jc w:val="center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Назва установ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Одиниця виміру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Норматив на 1000 відпочивальників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Потреба</w:t>
            </w:r>
          </w:p>
        </w:tc>
      </w:tr>
      <w:tr w:rsidR="004722A6" w:rsidTr="003B67C4">
        <w:trPr>
          <w:cantSplit/>
          <w:tblHeader/>
          <w:jc w:val="center"/>
        </w:trPr>
        <w:tc>
          <w:tcPr>
            <w:tcW w:w="6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оздоровчо-рекреаційна зона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3B67C4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оздоровча зона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Поліклініки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відвідувань/день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Кінотеатри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Клуби (універсальні зали)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Клуби (приміщення для гурткових занять)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Танцювальні зали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Танцювальні майданчики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 книжок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Відкриті кіно-естрадні майданчики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Спортивні зали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/>
                <w:lang w:val="uk-UA"/>
              </w:rPr>
              <w:t>підлоги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Басейни криті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/>
                <w:lang w:val="uk-UA"/>
              </w:rPr>
              <w:t>дзеркала води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88,0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Басейни відкриті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/>
                <w:lang w:val="uk-UA"/>
              </w:rPr>
              <w:t>дзеркала води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Комплекс майданчиків для дитячих ігор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1,12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0,25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Комплекс майданчиків для спортивних ігор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0,375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Продовольчі магазини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/>
                <w:lang w:val="uk-UA"/>
              </w:rPr>
              <w:t xml:space="preserve">торгової площі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Промтоварні магазини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/>
                <w:lang w:val="uk-UA"/>
              </w:rPr>
              <w:t xml:space="preserve">торгової площі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Їдальні, ресторани, кафе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Майстерні ремонту одягу, взуття, галантереї, годинників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робоче місце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Пункт прокату предметів курортного попиту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робоче місце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Хімчистки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// 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Перукарні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// 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Фотоательє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// 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Лазні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Фабрики-пральні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кг білизни за зміну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Склади загально-товарні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0,13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Склади спеціалізовані: будматеріалів, палива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Оранжерейно-тепличне господарство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Гаражі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машин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Ремонтні майстерні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роб. місце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4722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Пожежні машини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пожежний автомобіль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</w:tr>
      <w:tr w:rsidR="004722A6" w:rsidTr="003B67C4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A6" w:rsidRDefault="004722A6" w:rsidP="004722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Громадські туалети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прилад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A6" w:rsidRDefault="004722A6" w:rsidP="003B67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</w:tr>
    </w:tbl>
    <w:p w:rsidR="00000000" w:rsidRDefault="004722A6"/>
    <w:sectPr w:rsidR="00000000" w:rsidSect="00472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7CA4"/>
    <w:multiLevelType w:val="hybridMultilevel"/>
    <w:tmpl w:val="D654D64C"/>
    <w:lvl w:ilvl="0" w:tplc="AAEEF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2A6"/>
    <w:rsid w:val="0047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722A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722A6"/>
    <w:rPr>
      <w:rFonts w:ascii="Calibri" w:eastAsia="Times New Roman" w:hAnsi="Calibri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22A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22A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2013-08-08T11:03:00Z</dcterms:created>
  <dcterms:modified xsi:type="dcterms:W3CDTF">2013-08-08T11:04:00Z</dcterms:modified>
</cp:coreProperties>
</file>