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FC" w:rsidRPr="00EE1E5C" w:rsidRDefault="00D623FC" w:rsidP="00D623FC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E1E5C">
        <w:rPr>
          <w:rFonts w:ascii="Times New Roman" w:hAnsi="Times New Roman"/>
          <w:b/>
          <w:sz w:val="26"/>
          <w:szCs w:val="26"/>
          <w:lang w:val="uk-UA"/>
        </w:rPr>
        <w:t>5.1.4</w:t>
      </w:r>
      <w:r w:rsidRPr="00EE1E5C">
        <w:rPr>
          <w:rFonts w:ascii="Times New Roman" w:hAnsi="Times New Roman"/>
          <w:b/>
          <w:sz w:val="26"/>
          <w:szCs w:val="26"/>
          <w:lang w:val="uk-UA"/>
        </w:rPr>
        <w:tab/>
        <w:t>Податкове оточення в галузі: основні податки, наявність податкових пільг</w:t>
      </w:r>
    </w:p>
    <w:p w:rsidR="00D623FC" w:rsidRPr="00EE1E5C" w:rsidRDefault="00D623FC" w:rsidP="00D623F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hAnsi="Times New Roman"/>
          <w:sz w:val="26"/>
          <w:szCs w:val="26"/>
          <w:lang w:val="uk-UA"/>
        </w:rPr>
        <w:t>Проект створення</w:t>
      </w:r>
      <w:r w:rsidRPr="00EE1E5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EE1E5C">
        <w:rPr>
          <w:rFonts w:ascii="Times New Roman" w:hAnsi="Times New Roman"/>
          <w:sz w:val="26"/>
          <w:szCs w:val="26"/>
          <w:lang w:val="uk-UA"/>
        </w:rPr>
        <w:t>Міжнародного реабілітаційного містечка «</w:t>
      </w:r>
      <w:proofErr w:type="spellStart"/>
      <w:r w:rsidRPr="00EE1E5C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EE1E5C">
        <w:rPr>
          <w:rFonts w:ascii="Times New Roman" w:hAnsi="Times New Roman"/>
          <w:sz w:val="26"/>
          <w:szCs w:val="26"/>
          <w:lang w:val="uk-UA"/>
        </w:rPr>
        <w:t>» передбачає будівництво та експлуатацію об’єктів медичної, туристичної, енергетичної галузей та закладів індустрії розваг, для яких, відповідно до Податкового кодексу України, передбачено такі податки та пільги: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основна ставка </w:t>
      </w:r>
      <w:r w:rsidRPr="00EE1E5C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val="uk-UA"/>
        </w:rPr>
        <w:t>податку на прибуток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становить 16 відсотків;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>звільняється від оподаткування прибуток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підприємств паливно-енергетичного комплексу в межах фактичних витрат, що не перевищують загальну річну суму передбачених інвестиційними програмами, схваленими національною комісією, що здійснює державне регулювання у сфері енергетики, на капітальні вкладення з будівництва (реконструкції, модернізації) міждержавних, магістральних та розподільчих (локальних) електричних мереж, електричних станцій, теплоелектроцентралей, у тому числі сум, спрямованих на повернення кредитів, які використані для фінансування вищезазначених цілей (ст. 154.8);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звільняється від оподаткування прибуток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суб'єктів господарювання </w:t>
      </w:r>
      <w:proofErr w:type="spellStart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водо-</w:t>
      </w:r>
      <w:proofErr w:type="spellEnd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, теплопостачання та водовідведення в межах витрат, передбачених інвестиційними програмами, погодженими органом місцевого самоврядування (в межах його компетенції) та схваленими національною комісією, що здійснює державне регулювання у сфері комунальних послуг (для суб'єктів, регулювання діяльності яких здійснює така комісія), на капітальні інвестиції в будівництво (реконструкцію, модернізацію) об'єктів </w:t>
      </w:r>
      <w:proofErr w:type="spellStart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водо-</w:t>
      </w:r>
      <w:proofErr w:type="spellEnd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, теплопостачання та водовідведення, та/або сум, спрямованих на повернення кредитів, які використані для фінансування зазначених цілей (154.9);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ставки </w:t>
      </w:r>
      <w:r w:rsidRPr="00EE1E5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k-UA"/>
        </w:rPr>
        <w:t>податку на додану вартість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встановлюються від бази оподаткування в таких розмірах: а) 17 відсотків; б) 0 відсотків (ст. 193.1);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>звільняються від оподаткування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операції з постачання послуг із здобуття вищої, середньої, професійно-технічної та дошкільної освіти навчальними закладами, що мають ліцензію на постачання таких послуг а також послуг з проживання учнів або студентів у гуртожитках (ст. 197.1.2);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>звільняються від оподаткування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операції з постачання послуг з охорони здоров'я закладами охорони здоров'я, що мають ліцензію на постачання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lastRenderedPageBreak/>
        <w:t>таких послуг, а також постачання послуг реабілітаційними установами для інвалідів та дітей-інвалідів, що мають ліцензію на постачання таких послуг відповідно до законодавства (ст. 197.1.5);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>звільняються від оподаткування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операції з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постачання реабілітаційних послуг інвалідам, дітям-інвалідам, а також постачання путівок на санаторно-курортне лікування, оздоровлення та відпочинок на території України фізичних осіб віком до 18 років, інвалідів, дітей-інвалідів (ст. 197.1.6);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>звільняються від оподаткування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операції з постачання будівельно-монтажних робіт з будівництва доступного житла та житла, що будується за державні кошти, та операції з </w:t>
      </w:r>
      <w:proofErr w:type="spellStart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з</w:t>
      </w:r>
      <w:proofErr w:type="spellEnd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першого постачання доступного житла та житла, що будується із залученням державних коштів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(ст. 197.15);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lang w:val="uk-UA"/>
        </w:rPr>
        <w:t>звільняються від оподаткування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операції із ввезення на митну територію України устаткування, яке працює на відновлюваних джерелах енергії, енергозберігаючого обладнання і матеріалів; устаткування, яке працює на відновлюваних джерелах енергії; матеріалів, сировини, устаткування та комплектуючих, які будуть використовуватися у виробництві альтернативних видів палива або виробництві енергії з відновлюваних джерел енергії; енергозберігаючого обладнання і матеріалів, виробів, експлуатація яких забезпечує економію та раціональне використання паливно-енергетичних ресурсів (ст. 197.16);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ставки </w:t>
      </w:r>
      <w:r w:rsidRPr="00EE1E5C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val="uk-UA"/>
        </w:rPr>
        <w:t>плати за користування надрами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для видобування корисних копалин установлюються у таких розмірах: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мінеральні (лікувальні та лікувально-столові питні) для внутрішнього використання лікувальними закладами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-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14,18 грн. за 1 куб. м; теплоенергетичні (термальні)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-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0,77 грн. за 1 куб. м;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прісні підземні води - 8,95 грн. за 100 куб. м; поверхневі води - ропа (лікувальна, промислова)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– 0,86 грн. за 1 куб. м;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грязі лікувальні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– 10,24 грн. за 1 куб. м (ст. 263.9.1);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до об'єкта оподаткування за користування надрами не належать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обсяги мінеральних вод, що видобуті державними дитячими спеціалізованими санаторно-курортними закладами, в частині обсягів, що використовуються для лікування на їх території (ст. 263.2.3);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ставка </w:t>
      </w:r>
      <w:r w:rsidRPr="00EE1E5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k-UA"/>
        </w:rPr>
        <w:t>збору за здійснення діяльності у сфері розваг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на квартал становить: для використання грального автомата (грального автомата "кран-машина", грального автомата, на якому проводяться дитячі ігри, іншого грального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lastRenderedPageBreak/>
        <w:t xml:space="preserve">автомата, призначеного для проведення платних розважальних ігор) - розмір мінімальної заробітної плати; для використання гральних жолобів (доріжок) </w:t>
      </w:r>
      <w:proofErr w:type="spellStart"/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кегельбана</w:t>
      </w:r>
      <w:proofErr w:type="spellEnd"/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, боулінга, що вводяться в дію за допомогою жетона, монети або без них, - розмір мінімальної заробітної плати, збільшений у 2 рази, за кожний гральний жолоб (доріжку); для використання столів для більярда, що вводяться в дію за допомогою жетона, монети або без них, крім столів для більярда, що використовуються для спортивних аматорських змагань, - розмір мінімальної заробітної плати за кожний стіл для більярда; для проведення інших оплатних розважальних ігор - розмір мінімальної заробітної плати за кожне окреме гральне місце (ст. 267.3.6);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ставка </w:t>
      </w:r>
      <w:r w:rsidRPr="00EE1E5C">
        <w:rPr>
          <w:rFonts w:ascii="Times New Roman" w:eastAsia="Times New Roman" w:hAnsi="Times New Roman"/>
          <w:b/>
          <w:color w:val="000000"/>
          <w:sz w:val="26"/>
          <w:szCs w:val="26"/>
          <w:u w:val="single"/>
          <w:lang w:val="uk-UA"/>
        </w:rPr>
        <w:t>туристичного збору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встановлюється у розмірі від 0,5 до 1 відсотка до бази справляння збору (ст. 268.3.1);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платниками збору не можуть бути особи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які: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здоров'я; дитячі лікувально-профілактичні, фізкультурно-оздоровчі та санаторно-курортні заклади (ст. 268.2.2);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від сплати </w:t>
      </w:r>
      <w:r w:rsidRPr="00EE1E5C">
        <w:rPr>
          <w:rFonts w:ascii="Times New Roman" w:hAnsi="Times New Roman"/>
          <w:b/>
          <w:color w:val="000000"/>
          <w:sz w:val="26"/>
          <w:szCs w:val="26"/>
          <w:u w:val="single"/>
          <w:shd w:val="clear" w:color="auto" w:fill="FFFFFF"/>
          <w:lang w:val="uk-UA"/>
        </w:rPr>
        <w:t>земельного податку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EE1E5C">
        <w:rPr>
          <w:rFonts w:ascii="Times New Roman" w:hAnsi="Times New Roman"/>
          <w:i/>
          <w:color w:val="000000"/>
          <w:sz w:val="26"/>
          <w:szCs w:val="26"/>
          <w:shd w:val="clear" w:color="auto" w:fill="FFFFFF"/>
          <w:lang w:val="uk-UA"/>
        </w:rPr>
        <w:t>звільняються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: дитячі санаторно-курортні та оздоровчі заклади України незалежно від їх підпорядкованості, у тому числі дитячі санаторно-курортні та оздоровчі заклади України, які знаходяться на балансі підприємств, установ та організацій (ст. 282.1);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суб'єкти господарювання, які реалізують інвестиційні проекти у пріоритетних галузях економіки, схвалені відповідно до</w:t>
      </w:r>
      <w:r w:rsidRPr="00EE1E5C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hyperlink r:id="rId5" w:anchor="n3" w:tgtFrame="_blank" w:history="1">
        <w:r w:rsidRPr="00EE1E5C">
          <w:rPr>
            <w:rStyle w:val="a3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  <w:lang w:val="uk-UA"/>
          </w:rPr>
          <w:t>Закону України "Про стимулювання інвестиційної діяльності у пріоритетних галузях економіки з метою створення нових робочих місць"</w:t>
        </w:r>
      </w:hyperlink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, тимчасово, з 1 січня 2013 року до 31 грудня 2022 року включно, при ввезенні у митному режимі імпорту на митну територію України устаткування (обладнання) та комплектуючих виробів до нього, що </w:t>
      </w:r>
      <w:r w:rsidRPr="00EE1E5C">
        <w:rPr>
          <w:rFonts w:ascii="Times New Roman" w:hAnsi="Times New Roman"/>
          <w:i/>
          <w:color w:val="000000"/>
          <w:sz w:val="26"/>
          <w:szCs w:val="26"/>
          <w:u w:val="single"/>
          <w:shd w:val="clear" w:color="auto" w:fill="FFFFFF"/>
          <w:lang w:val="uk-UA"/>
        </w:rPr>
        <w:t>звільняються від оподаткування ввізним митом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у порядку, визначеному</w:t>
      </w:r>
      <w:r w:rsidRPr="00EE1E5C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hyperlink r:id="rId6" w:anchor="n4657" w:tgtFrame="_blank" w:history="1">
        <w:r w:rsidRPr="00EE1E5C">
          <w:rPr>
            <w:rStyle w:val="a3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  <w:lang w:val="uk-UA"/>
          </w:rPr>
          <w:t>підпунктом 10 пункту 4 розділу ХХI</w:t>
        </w:r>
      </w:hyperlink>
      <w:hyperlink r:id="rId7" w:anchor="n4657" w:tgtFrame="_blank" w:history="1">
        <w:r w:rsidRPr="00EE1E5C">
          <w:rPr>
            <w:rStyle w:val="apple-converted-space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  <w:lang w:val="uk-UA"/>
          </w:rPr>
          <w:t> </w:t>
        </w:r>
        <w:r w:rsidRPr="00EE1E5C">
          <w:rPr>
            <w:rStyle w:val="a3"/>
            <w:rFonts w:ascii="Times New Roman" w:hAnsi="Times New Roman"/>
            <w:sz w:val="26"/>
            <w:szCs w:val="26"/>
            <w:bdr w:val="none" w:sz="0" w:space="0" w:color="auto" w:frame="1"/>
            <w:shd w:val="clear" w:color="auto" w:fill="FFFFFF"/>
            <w:lang w:val="uk-UA"/>
          </w:rPr>
          <w:t>"Прикінцеві та перехідні положення" Митного кодексу України</w:t>
        </w:r>
      </w:hyperlink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, за умови оформлення митної декларації, можуть за власним 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бажанням видавати митному органу (а митний орган зобов'язаний прийняти) податковий вексель на суму податкового зобов'язання з податку на додану вартість, визначену в такій митній декларації;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u w:val="single"/>
          <w:lang w:val="uk-UA"/>
        </w:rPr>
        <w:t>прибуток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, отриманий від реалізації інвестиційних проектів суб'єктами господарювання, які реалізують інвестиційні проекти у пріоритетних галузях економіки, схвалені відповідно до </w:t>
      </w:r>
      <w:hyperlink r:id="rId8" w:anchor="n3" w:tgtFrame="_blank" w:history="1">
        <w:r w:rsidRPr="00EE1E5C">
          <w:rPr>
            <w:rFonts w:ascii="Times New Roman" w:eastAsia="Times New Roman" w:hAnsi="Times New Roman"/>
            <w:sz w:val="26"/>
            <w:szCs w:val="26"/>
            <w:lang w:val="uk-UA"/>
          </w:rPr>
          <w:t>Закону України "Про стимулювання інвестиційної діяльності у пріоритетних галузях економіки з метою створення нових робочих місць"</w:t>
        </w:r>
      </w:hyperlink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, </w:t>
      </w: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u w:val="single"/>
          <w:lang w:val="uk-UA"/>
        </w:rPr>
        <w:t>оподатковується за ставкою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: з 1 січня 2013 року по 31 грудня 2017 року включно - 0 відсотків; з 1 січня 2018 року по 31 грудня 2022 року включно - 8 відсотків; з 1 січня 2023 року - 16 відсотків (п. 10 підрозділу 4 розділу ХХ);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тимчасово, строком на 10 років, починаючи з 1 січня 2011 року </w:t>
      </w: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u w:val="single"/>
          <w:lang w:val="uk-UA"/>
        </w:rPr>
        <w:t>звільняється від оподаткування прибуток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суб'єкта господарської діяльності, отриманий від надання готельних послуг (група 55 КВЕД </w:t>
      </w:r>
      <w:proofErr w:type="spellStart"/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ДК</w:t>
      </w:r>
      <w:proofErr w:type="spellEnd"/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009:2005) у готелях категорій "п'ять зірок", "чотири зірки" і "три зірки", у тому числі новозбудованих чи реконструйованих або в яких проведено капітальний ремонт чи реставрація існуючих будівель і споруд; 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прибуток, отриманий від основної діяльності підприємств галузі електроенергетики (клас 40.11 група 40 КВЕД </w:t>
      </w:r>
      <w:proofErr w:type="spellStart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ДК</w:t>
      </w:r>
      <w:proofErr w:type="spellEnd"/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 009:2005), які виробляють електричну енергію виключно з відновлювальних джерел енергії (п. 17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підрозділу 4 розділу ХХ);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суб'єкти господарювання під час реалізації інвестиційних проектів у пріоритетних галузях економіки, схвалених відповідно до </w:t>
      </w:r>
      <w:hyperlink r:id="rId9" w:anchor="n3" w:tgtFrame="_blank" w:history="1">
        <w:r w:rsidRPr="00EE1E5C">
          <w:rPr>
            <w:rFonts w:ascii="Times New Roman" w:eastAsia="Times New Roman" w:hAnsi="Times New Roman"/>
            <w:sz w:val="26"/>
            <w:szCs w:val="26"/>
            <w:lang w:val="uk-UA"/>
          </w:rPr>
          <w:t>Закону України "Про стимулювання інвестиційної діяльності у пріоритетних галузях економіки з метою створення нових робочих місць"</w:t>
        </w:r>
      </w:hyperlink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, тимчасово, з 1 січня 2013 року до 31 грудня 2022 року включно, </w:t>
      </w:r>
      <w:r w:rsidRPr="00EE1E5C">
        <w:rPr>
          <w:rFonts w:ascii="Times New Roman" w:eastAsia="Times New Roman" w:hAnsi="Times New Roman"/>
          <w:i/>
          <w:color w:val="000000"/>
          <w:sz w:val="26"/>
          <w:szCs w:val="26"/>
          <w:u w:val="single"/>
          <w:lang w:val="uk-UA"/>
        </w:rPr>
        <w:t>податок на прибуток підприємств обчислюють з урахуванням таких особливостей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: під час нарахування амортизації основних засобів, що використовуються в період реалізації інвестиційного проекту та входять до груп 2 (капітальні витрати на поліпшення земель, не пов’язані з будівництвом) і 3 (будівлі), може бути застосовано метод прискореного зменшення залишкової вартості, визначений </w:t>
      </w:r>
      <w:hyperlink r:id="rId10" w:anchor="n2502" w:history="1">
        <w:r w:rsidRPr="00EE1E5C">
          <w:rPr>
            <w:rFonts w:ascii="Times New Roman" w:eastAsia="Times New Roman" w:hAnsi="Times New Roman"/>
            <w:sz w:val="26"/>
            <w:szCs w:val="26"/>
            <w:lang w:val="uk-UA"/>
          </w:rPr>
          <w:t>розділом III</w:t>
        </w:r>
      </w:hyperlink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Податкового Кодексу </w:t>
      </w:r>
      <w:r w:rsidRPr="00EE1E5C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(п. 29 </w:t>
      </w:r>
      <w:r w:rsidRPr="00EE1E5C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>підрозділу 4 розділу ХХ);</w:t>
      </w:r>
    </w:p>
    <w:p w:rsidR="00D623FC" w:rsidRPr="00EE1E5C" w:rsidRDefault="00D623FC" w:rsidP="00D623FC">
      <w:pPr>
        <w:numPr>
          <w:ilvl w:val="0"/>
          <w:numId w:val="1"/>
        </w:numPr>
        <w:tabs>
          <w:tab w:val="clear" w:pos="1729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  <w:r w:rsidRPr="00EE1E5C">
        <w:rPr>
          <w:rStyle w:val="hps"/>
          <w:rFonts w:ascii="Times New Roman" w:hAnsi="Times New Roman"/>
          <w:sz w:val="26"/>
          <w:szCs w:val="26"/>
          <w:lang w:val="uk-UA"/>
        </w:rPr>
        <w:t xml:space="preserve">ставка </w:t>
      </w:r>
      <w:r w:rsidRPr="00EE1E5C">
        <w:rPr>
          <w:rStyle w:val="hps"/>
          <w:rFonts w:ascii="Times New Roman" w:hAnsi="Times New Roman"/>
          <w:b/>
          <w:sz w:val="26"/>
          <w:szCs w:val="26"/>
          <w:lang w:val="uk-UA"/>
        </w:rPr>
        <w:t>єдиного соціального внеску</w:t>
      </w:r>
      <w:r w:rsidRPr="00EE1E5C">
        <w:rPr>
          <w:rStyle w:val="hps"/>
          <w:rFonts w:ascii="Times New Roman" w:hAnsi="Times New Roman"/>
          <w:sz w:val="26"/>
          <w:szCs w:val="26"/>
          <w:lang w:val="uk-UA"/>
        </w:rPr>
        <w:t xml:space="preserve"> 37,76%.</w:t>
      </w:r>
    </w:p>
    <w:sectPr w:rsidR="00D623FC" w:rsidRPr="00EE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8E5"/>
    <w:multiLevelType w:val="hybridMultilevel"/>
    <w:tmpl w:val="EBC0A2E6"/>
    <w:lvl w:ilvl="0" w:tplc="495A8C04">
      <w:start w:val="6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3FC"/>
    <w:rsid w:val="00D6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623FC"/>
    <w:rPr>
      <w:color w:val="0000FF"/>
      <w:u w:val="single"/>
    </w:rPr>
  </w:style>
  <w:style w:type="character" w:customStyle="1" w:styleId="hps">
    <w:name w:val="hps"/>
    <w:basedOn w:val="a0"/>
    <w:rsid w:val="00D623FC"/>
  </w:style>
  <w:style w:type="character" w:customStyle="1" w:styleId="apple-converted-space">
    <w:name w:val="apple-converted-space"/>
    <w:basedOn w:val="a0"/>
    <w:rsid w:val="00D6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1.rada.gov.ua/laws/show/5205-17/paran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4495-17/paran46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laws/show/4495-17/paran46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1.rada.gov.ua/laws/show/5205-17/paran3" TargetMode="External"/><Relationship Id="rId10" Type="http://schemas.openxmlformats.org/officeDocument/2006/relationships/hyperlink" Target="http://zakon1.rada.gov.ua/laws/show/2755-17/paran2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laws/show/5205-17/paran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2013-08-08T11:14:00Z</dcterms:created>
  <dcterms:modified xsi:type="dcterms:W3CDTF">2013-08-08T11:14:00Z</dcterms:modified>
</cp:coreProperties>
</file>