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67" w:rsidRPr="00DA7F67" w:rsidRDefault="00DA7F67" w:rsidP="00DA7F67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192952"/>
          <w:kern w:val="36"/>
          <w:sz w:val="39"/>
          <w:szCs w:val="39"/>
          <w:lang w:eastAsia="ru-RU"/>
        </w:rPr>
      </w:pPr>
      <w:r w:rsidRPr="00DA7F67">
        <w:rPr>
          <w:rFonts w:ascii="Arial" w:eastAsia="Times New Roman" w:hAnsi="Arial" w:cs="Arial"/>
          <w:color w:val="192952"/>
          <w:kern w:val="36"/>
          <w:sz w:val="39"/>
          <w:szCs w:val="39"/>
          <w:lang w:eastAsia="ru-RU"/>
        </w:rPr>
        <w:t xml:space="preserve">В </w:t>
      </w:r>
      <w:proofErr w:type="spellStart"/>
      <w:r w:rsidRPr="00DA7F67">
        <w:rPr>
          <w:rFonts w:ascii="Arial" w:eastAsia="Times New Roman" w:hAnsi="Arial" w:cs="Arial"/>
          <w:color w:val="192952"/>
          <w:kern w:val="36"/>
          <w:sz w:val="39"/>
          <w:szCs w:val="39"/>
          <w:lang w:eastAsia="ru-RU"/>
        </w:rPr>
        <w:t>Нафтогазе</w:t>
      </w:r>
      <w:proofErr w:type="spellEnd"/>
      <w:r w:rsidRPr="00DA7F67">
        <w:rPr>
          <w:rFonts w:ascii="Arial" w:eastAsia="Times New Roman" w:hAnsi="Arial" w:cs="Arial"/>
          <w:color w:val="192952"/>
          <w:kern w:val="36"/>
          <w:sz w:val="39"/>
          <w:szCs w:val="39"/>
          <w:lang w:eastAsia="ru-RU"/>
        </w:rPr>
        <w:t xml:space="preserve"> назвали средневзвешенную цену на газ для населения</w:t>
      </w:r>
    </w:p>
    <w:p w:rsidR="00DA7F67" w:rsidRPr="00DA7F67" w:rsidRDefault="00DA7F67" w:rsidP="00DA7F67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Средневзвешенная цена газа для нужд населения, </w:t>
      </w:r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получит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после последнего пересмотра тарифов, составляет 2 834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Pr="00DA7F67">
          <w:rPr>
            <w:rFonts w:ascii="Arial" w:eastAsia="Times New Roman" w:hAnsi="Arial" w:cs="Arial"/>
            <w:color w:val="03275F"/>
            <w:sz w:val="23"/>
            <w:u w:val="single"/>
            <w:lang w:eastAsia="ru-RU"/>
          </w:rPr>
          <w:t xml:space="preserve">НАК </w:t>
        </w:r>
        <w:proofErr w:type="spellStart"/>
        <w:r w:rsidRPr="00DA7F67">
          <w:rPr>
            <w:rFonts w:ascii="Arial" w:eastAsia="Times New Roman" w:hAnsi="Arial" w:cs="Arial"/>
            <w:color w:val="03275F"/>
            <w:sz w:val="23"/>
            <w:u w:val="single"/>
            <w:lang w:eastAsia="ru-RU"/>
          </w:rPr>
          <w:t>Нафтогаз</w:t>
        </w:r>
        <w:proofErr w:type="spellEnd"/>
        <w:r w:rsidRPr="00DA7F67">
          <w:rPr>
            <w:rFonts w:ascii="Arial" w:eastAsia="Times New Roman" w:hAnsi="Arial" w:cs="Arial"/>
            <w:color w:val="03275F"/>
            <w:sz w:val="23"/>
            <w:u w:val="single"/>
            <w:lang w:eastAsia="ru-RU"/>
          </w:rPr>
          <w:t xml:space="preserve"> Украины</w:t>
        </w:r>
      </w:hyperlink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опубликовала расчет своих расходов и доходов, связанных с закупкой и поставкой газа для нужд населения. Последнее изменение тарифов сокращает отрицательную разницу между ценой закупки газа и ценой его реализации, но не покрывает ее в полном объеме, заявили в компании.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Валовый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убыток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поставок газа на нужды населения за 12 месяцев с 1 апреля 2015 года по 31 марта 2016 года оценивается в 6,1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 условии стоимости импортируемого газа на границе Украины на уровне $250/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м, курса гривны 21,7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100% расчетов потребителями за поставленный газ.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прогнозу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за 12 месяцев с 1 апреля 2015 года по 31 марта 2016 года для нужд населения необходимо будет поставить 21,3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 газа. Из них 14,5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 газа будет потреблено домохозяйствами, еще 6,8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</w:t>
      </w:r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предприятиями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теплокоммунэнерго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(ТКЭ).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Согласно действующему Закону Украины "Об основах функционирования рынка газа", объем газа внутренней добычи, который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сможет закупить для нужд населения по ценам ниже рыночных за указанный период, составляет 12,8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м. Этот объем покроет примерно 60% потребностей населения в газе. Около 40% (8,5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м) газа для обеспечения потребностей населения в газе и тепле составляет импортированный газ, который будет закуплен по рыночным ценам.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положениями Закона Украины "Об основах функционирования рынка газа" и вследствие оккупации АР Крым Россией,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не нарушая законодательства, сможет купить для нужд населения только 12,8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 газа у ПАО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Укргаздобыча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котором компания владеет 100% акций.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закупку 21,3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 газа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Нафтогазу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согласно текущим подсчетам для нужд населения необходимо будет потратить 66,5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12 месяцев с 1 апреля 2015 года по 31 марта 2016 года. Из них по цене 1590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(без НДС), установленной НКРЭКП на газ внутренней добычи для нужд населения, компания купит 12,8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 газа, на что потратит 20,4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закупку 8,5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куб. м импортированного газа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потратит еще 46,1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 условии, что цена импортируемого газа для Украины составит $250/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куб. м, а курс составит 21,7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/долл. Доходы от продажи 21,3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куб м газа для нужд населения ожидаются на уровне 60,4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указанный период.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Отмечается, что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получает только 60-70% средств, которые платят потребители. Остальное идет в государственный бюджет в виде налогов (20% НДС и 4% целевой надбавки) и на оплату услуг предприятий, которые осуществляют транспортировку и доставку газа в дома потребителей.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Согласно расчетам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 полному тарифу 7 188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будет реализовано только 27% газа для нужд населения. Из стоимости этого газа, после отчисления налогов и расходов на доставку потребителю,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получит 5 042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Еще 41% газа будет реализован по льготной цене 3 600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(из </w:t>
      </w:r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получит 2 167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и 32% газа - по цене для ТКЭ 2 994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(из которых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получит 1 843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DA7F67" w:rsidRPr="00DA7F67" w:rsidRDefault="00DA7F67" w:rsidP="00DA7F67">
      <w:pPr>
        <w:shd w:val="clear" w:color="auto" w:fill="FFFFFF"/>
        <w:spacing w:before="216" w:after="216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Таким образом, доход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реализации газа для населения составит 60,4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средневзвешенная цена, которую получит компания за поставки газа для нужд населения - 2 834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Расходы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приобретение этого газа составят, согласно прогнозу, 66,5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средневзвешенная закупочная цена - 3 120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ткм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Отрицательная разница между доходами и расходами (дефицит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Нафтогаза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при этом составит 6,1 </w:t>
      </w:r>
      <w:proofErr w:type="spellStart"/>
      <w:proofErr w:type="gram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spellEnd"/>
      <w:proofErr w:type="gram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грн</w:t>
      </w:r>
      <w:proofErr w:type="spellEnd"/>
      <w:r w:rsidRPr="00DA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 </w:t>
      </w:r>
    </w:p>
    <w:p w:rsidR="00070F8C" w:rsidRDefault="00070F8C"/>
    <w:sectPr w:rsidR="00070F8C" w:rsidSect="0007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67"/>
    <w:rsid w:val="00070F8C"/>
    <w:rsid w:val="00DA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8C"/>
  </w:style>
  <w:style w:type="paragraph" w:styleId="1">
    <w:name w:val="heading 1"/>
    <w:basedOn w:val="a"/>
    <w:link w:val="10"/>
    <w:uiPriority w:val="9"/>
    <w:qFormat/>
    <w:rsid w:val="00DA7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.liga.net/company/2293-neftegaz_ykrai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2015-04-30T14:26:00Z</dcterms:created>
  <dcterms:modified xsi:type="dcterms:W3CDTF">2015-04-30T14:27:00Z</dcterms:modified>
</cp:coreProperties>
</file>