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F1" w:rsidRDefault="007713F1" w:rsidP="007713F1">
      <w:pPr>
        <w:spacing w:after="0" w:line="195" w:lineRule="atLeast"/>
        <w:jc w:val="center"/>
        <w:rPr>
          <w:rFonts w:ascii="Verdana" w:hAnsi="Verdana"/>
          <w:color w:val="0070C0"/>
          <w:sz w:val="20"/>
          <w:szCs w:val="20"/>
        </w:rPr>
      </w:pP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Національа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комі</w:t>
      </w:r>
      <w:proofErr w:type="gramStart"/>
      <w:r>
        <w:rPr>
          <w:b/>
          <w:bCs/>
          <w:color w:val="000000"/>
          <w:sz w:val="32"/>
          <w:szCs w:val="32"/>
          <w:shd w:val="clear" w:color="auto" w:fill="FFFFFF"/>
        </w:rPr>
        <w:t>с</w:t>
      </w:r>
      <w:proofErr w:type="gramEnd"/>
      <w:r>
        <w:rPr>
          <w:b/>
          <w:bCs/>
          <w:color w:val="000000"/>
          <w:sz w:val="32"/>
          <w:szCs w:val="32"/>
          <w:shd w:val="clear" w:color="auto" w:fill="FFFFFF"/>
        </w:rPr>
        <w:t>ія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що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здійснює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державне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регулювання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у сферах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енергетики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та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комунальних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послуг</w:t>
      </w:r>
      <w:proofErr w:type="spellEnd"/>
    </w:p>
    <w:p w:rsidR="007713F1" w:rsidRDefault="007713F1" w:rsidP="001D4244">
      <w:pPr>
        <w:spacing w:after="0" w:line="195" w:lineRule="atLeast"/>
        <w:jc w:val="right"/>
        <w:rPr>
          <w:rFonts w:ascii="Verdana" w:hAnsi="Verdana"/>
          <w:color w:val="0070C0"/>
          <w:sz w:val="20"/>
          <w:szCs w:val="20"/>
        </w:rPr>
      </w:pPr>
    </w:p>
    <w:p w:rsidR="004D05C4" w:rsidRPr="00463903" w:rsidRDefault="004D05C4" w:rsidP="001D4244">
      <w:pPr>
        <w:spacing w:after="0" w:line="195" w:lineRule="atLeast"/>
        <w:jc w:val="right"/>
        <w:rPr>
          <w:rFonts w:ascii="Verdana" w:hAnsi="Verdana"/>
          <w:color w:val="0070C0"/>
          <w:sz w:val="20"/>
          <w:szCs w:val="20"/>
        </w:rPr>
      </w:pPr>
      <w:proofErr w:type="spellStart"/>
      <w:r w:rsidRPr="00463903">
        <w:rPr>
          <w:rFonts w:ascii="Verdana" w:hAnsi="Verdana"/>
          <w:color w:val="0070C0"/>
          <w:sz w:val="20"/>
          <w:szCs w:val="20"/>
        </w:rPr>
        <w:t>Детальніше</w:t>
      </w:r>
      <w:proofErr w:type="spellEnd"/>
      <w:r w:rsidRPr="00463903">
        <w:rPr>
          <w:rFonts w:ascii="Verdana" w:hAnsi="Verdana"/>
          <w:color w:val="0070C0"/>
          <w:sz w:val="20"/>
          <w:szCs w:val="20"/>
        </w:rPr>
        <w:t xml:space="preserve"> читайте на </w:t>
      </w:r>
      <w:proofErr w:type="spellStart"/>
      <w:r w:rsidRPr="00463903">
        <w:rPr>
          <w:rFonts w:ascii="Verdana" w:hAnsi="Verdana"/>
          <w:color w:val="0070C0"/>
          <w:sz w:val="20"/>
          <w:szCs w:val="20"/>
        </w:rPr>
        <w:t>сайті</w:t>
      </w:r>
      <w:proofErr w:type="spellEnd"/>
      <w:r w:rsidRPr="00463903">
        <w:rPr>
          <w:rFonts w:ascii="Verdana" w:hAnsi="Verdana"/>
          <w:color w:val="0070C0"/>
          <w:sz w:val="20"/>
          <w:szCs w:val="20"/>
        </w:rPr>
        <w:t xml:space="preserve"> НКРЕКП:</w:t>
      </w:r>
      <w:r w:rsidRPr="00463903">
        <w:rPr>
          <w:rStyle w:val="apple-converted-space"/>
          <w:rFonts w:ascii="Verdana" w:hAnsi="Verdana"/>
          <w:color w:val="0070C0"/>
          <w:sz w:val="20"/>
          <w:szCs w:val="20"/>
        </w:rPr>
        <w:t> </w:t>
      </w:r>
      <w:hyperlink r:id="rId5" w:history="1">
        <w:r w:rsidRPr="00463903">
          <w:rPr>
            <w:rStyle w:val="a5"/>
            <w:rFonts w:ascii="Verdana" w:hAnsi="Verdana"/>
            <w:color w:val="0070C0"/>
            <w:sz w:val="18"/>
            <w:szCs w:val="18"/>
          </w:rPr>
          <w:t>www.nerc.gov.ua</w:t>
        </w:r>
      </w:hyperlink>
      <w:r w:rsidRPr="00463903">
        <w:rPr>
          <w:rFonts w:ascii="Verdana" w:hAnsi="Verdana"/>
          <w:color w:val="0070C0"/>
          <w:sz w:val="20"/>
          <w:szCs w:val="20"/>
        </w:rPr>
        <w:t>.</w:t>
      </w:r>
    </w:p>
    <w:p w:rsidR="004D05C4" w:rsidRDefault="004D05C4" w:rsidP="001D4244">
      <w:pPr>
        <w:spacing w:after="0" w:line="195" w:lineRule="atLeast"/>
        <w:jc w:val="right"/>
        <w:rPr>
          <w:rFonts w:ascii="Verdana" w:hAnsi="Verdana"/>
          <w:color w:val="333333"/>
          <w:sz w:val="20"/>
          <w:szCs w:val="20"/>
        </w:rPr>
      </w:pPr>
    </w:p>
    <w:p w:rsidR="004D05C4" w:rsidRDefault="004D05C4" w:rsidP="001D4244">
      <w:pPr>
        <w:spacing w:after="0" w:line="195" w:lineRule="atLeast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4D05C4" w:rsidRDefault="004D05C4" w:rsidP="001D4244">
      <w:pPr>
        <w:spacing w:after="0" w:line="195" w:lineRule="atLeast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4D05C4" w:rsidRDefault="004D05C4" w:rsidP="001D4244">
      <w:pPr>
        <w:spacing w:after="0" w:line="195" w:lineRule="atLeast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4D05C4" w:rsidRDefault="004D05C4" w:rsidP="001D4244">
      <w:pPr>
        <w:spacing w:after="0" w:line="195" w:lineRule="atLeast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4D05C4" w:rsidRPr="007713F1" w:rsidRDefault="004D05C4" w:rsidP="001D4244">
      <w:pPr>
        <w:spacing w:after="0" w:line="195" w:lineRule="atLeast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</w:pPr>
    </w:p>
    <w:p w:rsidR="001D4244" w:rsidRPr="007713F1" w:rsidRDefault="001D4244" w:rsidP="001D4244">
      <w:pPr>
        <w:spacing w:after="0" w:line="195" w:lineRule="atLeast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</w:pPr>
      <w:proofErr w:type="spellStart"/>
      <w:r w:rsidRPr="007713F1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Офіційна</w:t>
      </w:r>
      <w:proofErr w:type="spellEnd"/>
      <w:r w:rsidRPr="007713F1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 xml:space="preserve"> </w:t>
      </w:r>
      <w:proofErr w:type="spellStart"/>
      <w:r w:rsidRPr="007713F1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інформація</w:t>
      </w:r>
      <w:proofErr w:type="spellEnd"/>
      <w:r w:rsidRPr="007713F1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 xml:space="preserve"> НКРЕКП станом на 07.04.2015</w:t>
      </w:r>
    </w:p>
    <w:p w:rsidR="001D4244" w:rsidRPr="001D4244" w:rsidRDefault="001D4244" w:rsidP="001D4244">
      <w:pPr>
        <w:spacing w:after="0" w:line="195" w:lineRule="atLeast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BBC9D1"/>
          <w:left w:val="single" w:sz="6" w:space="0" w:color="BBC9D1"/>
          <w:bottom w:val="single" w:sz="6" w:space="0" w:color="BBC9D1"/>
          <w:right w:val="single" w:sz="6" w:space="0" w:color="BBC9D1"/>
        </w:tblBorders>
        <w:tblCellMar>
          <w:left w:w="0" w:type="dxa"/>
          <w:right w:w="0" w:type="dxa"/>
        </w:tblCellMar>
        <w:tblLook w:val="04A0"/>
      </w:tblPr>
      <w:tblGrid>
        <w:gridCol w:w="7193"/>
        <w:gridCol w:w="2178"/>
      </w:tblGrid>
      <w:tr w:rsidR="001D4244" w:rsidRPr="001D4244" w:rsidTr="001D4244">
        <w:tc>
          <w:tcPr>
            <w:tcW w:w="3800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vAlign w:val="center"/>
            <w:hideMark/>
          </w:tcPr>
          <w:p w:rsidR="001D4244" w:rsidRPr="001D4244" w:rsidRDefault="001D4244" w:rsidP="001D4244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Диференціація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цін</w:t>
            </w:r>
            <w:proofErr w:type="spellEnd"/>
          </w:p>
        </w:tc>
        <w:tc>
          <w:tcPr>
            <w:tcW w:w="1150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vAlign w:val="center"/>
            <w:hideMark/>
          </w:tcPr>
          <w:p w:rsidR="001D4244" w:rsidRPr="001D4244" w:rsidRDefault="001D4244" w:rsidP="001D4244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іна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 1 м</w:t>
            </w:r>
            <w:r w:rsidRPr="001D4244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  <w:lang w:eastAsia="ru-RU"/>
              </w:rPr>
              <w:t>3</w:t>
            </w:r>
            <w:r w:rsidRPr="001D4244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ПДВ,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</w:tr>
      <w:tr w:rsidR="001D4244" w:rsidRPr="001D4244" w:rsidTr="001D4244">
        <w:tc>
          <w:tcPr>
            <w:tcW w:w="3800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4244" w:rsidRPr="001D4244" w:rsidRDefault="001D4244" w:rsidP="001D4244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їжі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ідігріву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води</w:t>
            </w:r>
          </w:p>
        </w:tc>
        <w:tc>
          <w:tcPr>
            <w:tcW w:w="1150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4244" w:rsidRPr="001D4244" w:rsidRDefault="001D4244" w:rsidP="001D4244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7,188 </w:t>
            </w:r>
          </w:p>
        </w:tc>
      </w:tr>
      <w:tr w:rsidR="001D4244" w:rsidRPr="001D4244" w:rsidTr="001D4244">
        <w:tc>
          <w:tcPr>
            <w:tcW w:w="3800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4244" w:rsidRPr="001D4244" w:rsidRDefault="001D4244" w:rsidP="001D4244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індивідуального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опалення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їжі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ідігріву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води</w:t>
            </w:r>
          </w:p>
        </w:tc>
        <w:tc>
          <w:tcPr>
            <w:tcW w:w="1150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4244" w:rsidRPr="001D4244" w:rsidRDefault="001D4244" w:rsidP="001D4244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44" w:rsidRPr="001D4244" w:rsidTr="001D4244">
        <w:tc>
          <w:tcPr>
            <w:tcW w:w="3800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4244" w:rsidRPr="001D4244" w:rsidRDefault="001D4244" w:rsidP="001D4244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іод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01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травня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 30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вересня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включно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0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4244" w:rsidRPr="001D4244" w:rsidRDefault="001D4244" w:rsidP="001D4244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7,188 </w:t>
            </w:r>
          </w:p>
        </w:tc>
      </w:tr>
      <w:tr w:rsidR="001D4244" w:rsidRPr="001D4244" w:rsidTr="001D4244">
        <w:tc>
          <w:tcPr>
            <w:tcW w:w="3800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4244" w:rsidRPr="001D4244" w:rsidRDefault="001D4244" w:rsidP="001D4244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у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01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жовтня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 30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квітня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включно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):</w:t>
            </w:r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-- за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обсяг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спожитий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200 м3 </w:t>
            </w:r>
            <w:proofErr w:type="gram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природного</w:t>
            </w:r>
            <w:proofErr w:type="gram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газу на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місяць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включно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-- за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обсяг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спожитий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200 м3 природного газу на </w:t>
            </w:r>
            <w:proofErr w:type="spellStart"/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місяць</w:t>
            </w:r>
            <w:proofErr w:type="spellEnd"/>
          </w:p>
        </w:tc>
        <w:tc>
          <w:tcPr>
            <w:tcW w:w="1150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4244" w:rsidRPr="001D4244" w:rsidRDefault="001D4244" w:rsidP="001D4244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3,600</w:t>
            </w:r>
            <w:r w:rsidRPr="001D4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7,188</w:t>
            </w:r>
          </w:p>
        </w:tc>
      </w:tr>
    </w:tbl>
    <w:p w:rsidR="001D4244" w:rsidRDefault="001D4244" w:rsidP="001D4244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7713F1" w:rsidRDefault="007713F1" w:rsidP="001D4244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1D4244" w:rsidRPr="001D4244" w:rsidRDefault="001D4244" w:rsidP="001D4244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</w:t>
      </w:r>
      <w:proofErr w:type="gram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іни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газ для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населення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встановлені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урахуванням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</w:t>
      </w:r>
    </w:p>
    <w:p w:rsidR="001D4244" w:rsidRPr="001D4244" w:rsidRDefault="001D4244" w:rsidP="001D4244">
      <w:pPr>
        <w:numPr>
          <w:ilvl w:val="0"/>
          <w:numId w:val="1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податку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додану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вартість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</w:p>
    <w:p w:rsidR="001D4244" w:rsidRPr="001D4244" w:rsidRDefault="001D4244" w:rsidP="001D4244">
      <w:pPr>
        <w:numPr>
          <w:ilvl w:val="0"/>
          <w:numId w:val="1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збору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вигляді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цільової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надбавки до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діючого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тарифу на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природний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газ для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споживачів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усіх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форм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власності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</w:p>
    <w:p w:rsidR="001D4244" w:rsidRPr="001D4244" w:rsidRDefault="001D4244" w:rsidP="001D4244">
      <w:pPr>
        <w:numPr>
          <w:ilvl w:val="0"/>
          <w:numId w:val="1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тарифів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послуги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транспортування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розподілу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постачання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природного</w:t>
      </w:r>
      <w:proofErr w:type="gram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газу за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регульованим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тарифом.</w:t>
      </w:r>
    </w:p>
    <w:p w:rsidR="001D4244" w:rsidRPr="001D4244" w:rsidRDefault="001D4244" w:rsidP="001D4244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Винятком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є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смт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Солотвине</w:t>
      </w:r>
      <w:proofErr w:type="gram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Закарпатської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області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яке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використовує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природний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газ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безпосередньо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із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Солотвинського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родовища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роздрібні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ціни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природний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газ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застосовуються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урахуванням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коефіцієнта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0,8.</w:t>
      </w:r>
    </w:p>
    <w:p w:rsidR="001D4244" w:rsidRPr="001D4244" w:rsidRDefault="001D4244" w:rsidP="001D4244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1D4244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Роздрібні</w:t>
      </w:r>
      <w:proofErr w:type="spellEnd"/>
      <w:r w:rsidRPr="001D4244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ціни</w:t>
      </w:r>
      <w:proofErr w:type="spellEnd"/>
      <w:r w:rsidRPr="001D4244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на </w:t>
      </w:r>
      <w:proofErr w:type="spellStart"/>
      <w:r w:rsidRPr="001D4244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природний</w:t>
      </w:r>
      <w:proofErr w:type="spellEnd"/>
      <w:r w:rsidRPr="001D4244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газ для </w:t>
      </w:r>
      <w:proofErr w:type="spellStart"/>
      <w:r w:rsidRPr="001D4244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населення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затверджені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постановою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Національної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комісії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що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здійснює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державне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регулювання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</w:t>
      </w:r>
      <w:proofErr w:type="gram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сферах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енергетики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комунальних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послуг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1D4244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proofErr w:type="spellStart"/>
      <w:r w:rsidR="00B940E7"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"http://www.nerc.gov.ua/index.php?id=14329" \t "_blank" </w:instrText>
      </w:r>
      <w:r w:rsidR="00B940E7"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1D4244">
        <w:rPr>
          <w:rFonts w:ascii="Verdana" w:eastAsia="Times New Roman" w:hAnsi="Verdana" w:cs="Times New Roman"/>
          <w:color w:val="333333"/>
          <w:sz w:val="18"/>
          <w:u w:val="single"/>
          <w:lang w:eastAsia="ru-RU"/>
        </w:rPr>
        <w:t>від</w:t>
      </w:r>
      <w:proofErr w:type="spellEnd"/>
      <w:r w:rsidRPr="001D4244">
        <w:rPr>
          <w:rFonts w:ascii="Verdana" w:eastAsia="Times New Roman" w:hAnsi="Verdana" w:cs="Times New Roman"/>
          <w:color w:val="333333"/>
          <w:sz w:val="18"/>
          <w:u w:val="single"/>
          <w:lang w:eastAsia="ru-RU"/>
        </w:rPr>
        <w:t xml:space="preserve"> 03.03.2015 № 583</w:t>
      </w:r>
      <w:r w:rsidR="00B940E7"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  <w:r w:rsidRPr="001D4244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та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зареєстровані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Міністерстві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юстиції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03.03.2015 за № 242/26687.</w:t>
      </w:r>
    </w:p>
    <w:p w:rsidR="001D4244" w:rsidRPr="001D4244" w:rsidRDefault="001D4244" w:rsidP="001D4244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</w:t>
      </w:r>
      <w:proofErr w:type="gram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ів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цін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природний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газ для потреб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населення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можна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D424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переглянути</w:t>
      </w:r>
      <w:proofErr w:type="spellEnd"/>
      <w:r w:rsidRPr="001D4244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hyperlink r:id="rId6" w:tgtFrame="_blank" w:history="1">
        <w:r w:rsidRPr="001D4244">
          <w:rPr>
            <w:rFonts w:ascii="Verdana" w:eastAsia="Times New Roman" w:hAnsi="Verdana" w:cs="Times New Roman"/>
            <w:color w:val="333333"/>
            <w:sz w:val="18"/>
            <w:u w:val="single"/>
            <w:lang w:eastAsia="ru-RU"/>
          </w:rPr>
          <w:t>тут</w:t>
        </w:r>
      </w:hyperlink>
      <w:r w:rsidRPr="001D4244">
        <w:rPr>
          <w:rFonts w:ascii="Verdana" w:eastAsia="Times New Roman" w:hAnsi="Verdana" w:cs="Times New Roman"/>
          <w:i/>
          <w:iCs/>
          <w:color w:val="333333"/>
          <w:sz w:val="20"/>
          <w:lang w:eastAsia="ru-RU"/>
        </w:rPr>
        <w:t>.</w:t>
      </w:r>
    </w:p>
    <w:p w:rsidR="00C75CB0" w:rsidRDefault="00C75CB0"/>
    <w:sectPr w:rsidR="00C75CB0" w:rsidSect="00C7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85ED9"/>
    <w:multiLevelType w:val="multilevel"/>
    <w:tmpl w:val="0268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44"/>
    <w:rsid w:val="001D4244"/>
    <w:rsid w:val="00463903"/>
    <w:rsid w:val="004D05C4"/>
    <w:rsid w:val="007713F1"/>
    <w:rsid w:val="00B940E7"/>
    <w:rsid w:val="00C74367"/>
    <w:rsid w:val="00C7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4244"/>
  </w:style>
  <w:style w:type="character" w:styleId="a4">
    <w:name w:val="Strong"/>
    <w:basedOn w:val="a0"/>
    <w:uiPriority w:val="22"/>
    <w:qFormat/>
    <w:rsid w:val="001D4244"/>
    <w:rPr>
      <w:b/>
      <w:bCs/>
    </w:rPr>
  </w:style>
  <w:style w:type="character" w:styleId="a5">
    <w:name w:val="Hyperlink"/>
    <w:basedOn w:val="a0"/>
    <w:uiPriority w:val="99"/>
    <w:semiHidden/>
    <w:unhideWhenUsed/>
    <w:rsid w:val="001D4244"/>
    <w:rPr>
      <w:color w:val="0000FF"/>
      <w:u w:val="single"/>
    </w:rPr>
  </w:style>
  <w:style w:type="character" w:styleId="a6">
    <w:name w:val="Emphasis"/>
    <w:basedOn w:val="a0"/>
    <w:uiPriority w:val="20"/>
    <w:qFormat/>
    <w:rsid w:val="001D424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713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rc.gov.ua/?id=15029" TargetMode="External"/><Relationship Id="rId5" Type="http://schemas.openxmlformats.org/officeDocument/2006/relationships/hyperlink" Target="http://www.nerc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2015-04-30T18:15:00Z</dcterms:created>
  <dcterms:modified xsi:type="dcterms:W3CDTF">2015-05-01T07:32:00Z</dcterms:modified>
</cp:coreProperties>
</file>